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Claimant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STATE OF MAHARASHTRA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General</w:t>
      </w:r>
    </w:p>
    <w:p>
      <w:pPr>
        <w:pStyle w:val="1LevelPara"/>
        <w:numPr>
          <w:ilvl w:val="0"/>
          <w:numId w:val="18"/>
        </w:numPr>
        <w:ind w:hanging="0" w:start="0" w:end="0"/>
        <w:rPr/>
      </w:pPr>
      <w:r>
        <w:rPr/>
        <w:t>This Notice of Arbitration, pertaining to a Supplemental State Support Agreement between the Claimant and the Respondent made as a deed on 27</w:t>
      </w:r>
      <w:r>
        <w:rPr>
          <w:vertAlign w:val="superscript"/>
        </w:rPr>
        <w:t>th</w:t>
      </w:r>
      <w:r>
        <w:rPr/>
        <w:t xml:space="preserve"> July 1996 (“the Supplemental GOM Support Agreement”), is served along with a Notice of Arbitration in respect of the disputes and differences arising out of or in connection with a State Support Agreement between the Claimant and the Respondent made as a deed on 24</w:t>
      </w:r>
      <w:r>
        <w:rPr>
          <w:vertAlign w:val="superscript"/>
        </w:rPr>
        <w:t>th</w:t>
      </w:r>
      <w:r>
        <w:rPr/>
        <w:t xml:space="preserve"> June 1994 (as amended in terms of Clause 5.1 of the Supplemental GOM Support Agreement) (“the GOM Support Agreement”).  This Notice of Arbitration raises the same issues as are raised in the Notice of Arbitration in respect of the GOM Support Agreement.</w:t>
      </w:r>
    </w:p>
    <w:p>
      <w:pPr>
        <w:pStyle w:val="Recitals"/>
        <w:numPr>
          <w:ilvl w:val="0"/>
          <w:numId w:val="3"/>
        </w:numPr>
        <w:ind w:hanging="0" w:start="0"/>
        <w:rPr/>
      </w:pPr>
      <w:r>
        <w:rPr>
          <w:u w:val="single"/>
        </w:rPr>
        <w:t>Demand for Arbitration</w:t>
      </w:r>
    </w:p>
    <w:p>
      <w:pPr>
        <w:pStyle w:val="1LevelPara"/>
        <w:numPr>
          <w:ilvl w:val="0"/>
          <w:numId w:val="18"/>
        </w:numPr>
        <w:ind w:hanging="0" w:start="0" w:end="0"/>
        <w:rPr/>
      </w:pPr>
      <w:r>
        <w:rPr/>
        <w:t>Dabhol Power Company, the Claimant herein, hereby demands that the disputes and differences which have arisen between it and The State of Maharashtra, the Respondent herein, arising out of or in connection with the Supplemental GOM Support Agreement (“the Dispute”) be referred to arbitration pursuant to, and in accordance with, the provisions of the arbitration agreement between the parties set out in Clause 5.2 of the Supplemental GOM Support Agreement and the Arbitration Rules of the United Nations Commission on International Trade Law (set out in resolution 35/52 and adopted by the United Nations General Assembly on 15</w:t>
      </w:r>
      <w:r>
        <w:rPr>
          <w:vertAlign w:val="superscript"/>
        </w:rPr>
        <w:t>th</w:t>
      </w:r>
      <w:r>
        <w:rPr/>
        <w:t xml:space="preserve"> December 1976) (“the UNCITRAL Arbitration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Arbitration shall bear the meanings ascribed to them in:-</w:t>
      </w:r>
    </w:p>
    <w:p>
      <w:pPr>
        <w:pStyle w:val="1LevelPara"/>
        <w:numPr>
          <w:ilvl w:val="0"/>
          <w:numId w:val="0"/>
        </w:numPr>
        <w:ind w:hanging="0" w:start="720" w:end="0"/>
        <w:rPr/>
      </w:pPr>
      <w:r>
        <w:rPr/>
        <w:t>(1)</w:t>
        <w:tab/>
        <w:t xml:space="preserve">Clause 1.1 of the GOM Support Agreement; and </w:t>
      </w:r>
    </w:p>
    <w:p>
      <w:pPr>
        <w:pStyle w:val="1LevelPara"/>
        <w:numPr>
          <w:ilvl w:val="0"/>
          <w:numId w:val="0"/>
        </w:numPr>
        <w:ind w:hanging="0" w:start="720" w:end="0"/>
        <w:rPr/>
      </w:pPr>
      <w:r>
        <w:rPr/>
        <w:t>(2)</w:t>
        <w:tab/>
        <w:t>Clause 1.1 of a Power Purchase Agreement entered into between the Claimant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Claimant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State of Maharashtra, acting through the Secretary to the Government of Maharashtra (Industries, Energy and Labour Department), whose principal office and address is at Mantralaya, Mumbai - 400 032, India.</w:t>
      </w:r>
    </w:p>
    <w:p>
      <w:pPr>
        <w:pStyle w:val="Recitals"/>
        <w:numPr>
          <w:ilvl w:val="0"/>
          <w:numId w:val="3"/>
        </w:numPr>
        <w:ind w:hanging="0" w:start="0"/>
        <w:rPr/>
      </w:pPr>
      <w:r>
        <w:rPr>
          <w:u w:val="single"/>
        </w:rPr>
        <w:t>Capacity of the Claimant</w:t>
      </w:r>
    </w:p>
    <w:p>
      <w:pPr>
        <w:pStyle w:val="1LevelPara"/>
        <w:numPr>
          <w:ilvl w:val="0"/>
          <w:numId w:val="18"/>
        </w:numPr>
        <w:ind w:hanging="0" w:start="0" w:end="0"/>
        <w:rPr/>
      </w:pPr>
      <w:r>
        <w:rPr/>
        <w:t>The Claimant herein serves this Notice of Arbitration and commences the references to arbitration begun in terms of this Notice of Arbitration, for itself and as a trustee for Foreign Investors in accordance with Clause 5.2 of the Supplemental GOM Support Agreement, in terms of which the provisions of Clause 8.2(b) of the GOM Support Agreement were incorporated into the Supplemental GOM Support Agreement.</w:t>
      </w:r>
    </w:p>
    <w:p>
      <w:pPr>
        <w:pStyle w:val="Recitals"/>
        <w:numPr>
          <w:ilvl w:val="0"/>
          <w:numId w:val="3"/>
        </w:numPr>
        <w:ind w:hanging="0" w:start="0"/>
        <w:rPr/>
      </w:pPr>
      <w:r>
        <w:rPr>
          <w:u w:val="single"/>
        </w:rPr>
        <w:t>Arbitration Agreement Invoked</w:t>
      </w:r>
    </w:p>
    <w:p>
      <w:pPr>
        <w:pStyle w:val="1LevelPara"/>
        <w:numPr>
          <w:ilvl w:val="0"/>
          <w:numId w:val="18"/>
        </w:numPr>
        <w:ind w:hanging="0" w:start="0" w:end="0"/>
        <w:rPr/>
      </w:pPr>
      <w:r>
        <w:rPr/>
        <w:t>The arbitration agreement which is invoked by the Claimant is contained in Clause 5.2 of the Supplemental GOM Support Agreement in terms of which the arbitration agreement set out in Clauses 11.1 to 11.3 of the GOM Support Agreement was incorporated into the Supplemental GOM Support Agreement.  The text of the arbitration agreement set out in Clauses 11.1 to 11.3 of the GOM Support Agreement is set out in the Annexure to this Notice of Arbitration. The parties’ arbitration agreement provides that any reference to arbitration begun pursuant thereto shall be held in London and shall be conducted in accordance with the UNCITRAL Arbitration Rules and English law (as the procedural law of the reference to arbitration).  The parties’ arbitration agreement further provides, pursuant to Clause 11.2, that no arbitrator shall be a national of India or the United States of America, and, pursuant to Clause 11.3, that the arbitration shall be conducted in the English language.</w:t>
      </w:r>
    </w:p>
    <w:p>
      <w:pPr>
        <w:pStyle w:val="Recitals"/>
        <w:numPr>
          <w:ilvl w:val="0"/>
          <w:numId w:val="3"/>
        </w:numPr>
        <w:ind w:hanging="0" w:start="0"/>
        <w:rPr/>
      </w:pPr>
      <w:r>
        <w:rPr>
          <w:u w:val="single"/>
        </w:rPr>
        <w:t>The Contract</w:t>
      </w:r>
    </w:p>
    <w:p>
      <w:pPr>
        <w:pStyle w:val="1LevelPara"/>
        <w:numPr>
          <w:ilvl w:val="0"/>
          <w:numId w:val="18"/>
        </w:numPr>
        <w:ind w:hanging="0" w:start="0" w:end="0"/>
        <w:rPr/>
      </w:pPr>
      <w:r>
        <w:rPr/>
        <w:t>The contract out of or in connection with which the Dispute has arisen is the Supplemental GOM Support Agreement.  As set out at (A) above, the same issues are raised in the dispute in respect of the GOM Support Agreement.</w:t>
      </w:r>
    </w:p>
    <w:p>
      <w:pPr>
        <w:pStyle w:val="Recitals"/>
        <w:numPr>
          <w:ilvl w:val="0"/>
          <w:numId w:val="3"/>
        </w:numPr>
        <w:ind w:hanging="0" w:start="0"/>
        <w:rPr/>
      </w:pPr>
      <w:r>
        <w:rPr>
          <w:u w:val="single"/>
        </w:rPr>
        <w:t xml:space="preserve">Summary of Factual Background </w:t>
      </w:r>
    </w:p>
    <w:p>
      <w:pPr>
        <w:pStyle w:val="1LevelPara"/>
        <w:numPr>
          <w:ilvl w:val="0"/>
          <w:numId w:val="18"/>
        </w:numPr>
        <w:ind w:hanging="0" w:start="0"/>
        <w:rPr/>
      </w:pPr>
      <w:r>
        <w:rPr/>
        <w:t xml:space="preserve">Set out below is a summary of the factual background.  The general nature of the claim and the relief sought is as set out at section (I) below. </w:t>
      </w:r>
    </w:p>
    <w:p>
      <w:pPr>
        <w:pStyle w:val="Recitals"/>
        <w:numPr>
          <w:ilvl w:val="0"/>
          <w:numId w:val="0"/>
        </w:numPr>
        <w:ind w:firstLine="720" w:start="-720" w:end="0"/>
        <w:rPr>
          <w:b w:val="false"/>
        </w:rPr>
      </w:pPr>
      <w:r>
        <w:rPr>
          <w:b w:val="false"/>
        </w:rPr>
        <w:t>(a)</w:t>
        <w:tab/>
      </w:r>
      <w:r>
        <w:rPr>
          <w:b w:val="false"/>
          <w:u w:val="single"/>
        </w:rPr>
        <w:t>Breach of the GOM Obligation to Support the Project</w:t>
      </w:r>
    </w:p>
    <w:p>
      <w:pPr>
        <w:pStyle w:val="1LevelPara"/>
        <w:numPr>
          <w:ilvl w:val="0"/>
          <w:numId w:val="18"/>
        </w:numPr>
        <w:ind w:hanging="1440" w:start="1440" w:end="0"/>
        <w:rPr/>
      </w:pPr>
      <w:r>
        <w:rPr/>
        <w:t>(1)</w:t>
        <w:tab/>
        <w:t>(a)</w:t>
        <w:tab/>
        <w:t>As set out at section (I) below, the Respondent bound itself to support the development of the Project, to perform properly the obligations owed by it to the Claimant under (</w:t>
      </w:r>
      <w:r>
        <w:rPr>
          <w:i/>
        </w:rPr>
        <w:t>inter alia</w:t>
      </w:r>
      <w:r>
        <w:rPr/>
        <w:t>) the GOM Guarantee and to ensure the proper performance by the MSEB of the obligations owed by it to the Claimant under the PPA.</w:t>
      </w:r>
    </w:p>
    <w:p>
      <w:pPr>
        <w:pStyle w:val="1LevelPara"/>
        <w:numPr>
          <w:ilvl w:val="0"/>
          <w:numId w:val="0"/>
        </w:numPr>
        <w:ind w:hanging="0" w:start="1440" w:end="0"/>
        <w:rPr/>
      </w:pPr>
      <w:r>
        <w:rPr/>
        <w:t>(b)</w:t>
        <w:tab/>
        <w:t>On or about 2</w:t>
      </w:r>
      <w:r>
        <w:rPr>
          <w:vertAlign w:val="superscript"/>
        </w:rPr>
        <w:t>nd</w:t>
      </w:r>
      <w:r>
        <w:rPr/>
        <w:t xml:space="preserve"> August 1995, the (then) executive government of the Respondent purported to cancel the Project and took other actions which were inconsistent with the obligations owed by it to the Claimant (</w:t>
      </w:r>
      <w:r>
        <w:rPr>
          <w:i/>
        </w:rPr>
        <w:t>inter alia</w:t>
      </w:r>
      <w:r>
        <w:rPr/>
        <w:t>) under the GOM Support Agreement and the GOM Guarantee. In consequence, the construction of Phase I of the Project was suspended and the Lenders to the Claimant ceased to extend credit to the Claimant. By two Notices of Arbitration dated 4</w:t>
      </w:r>
      <w:r>
        <w:rPr>
          <w:vertAlign w:val="superscript"/>
        </w:rPr>
        <w:t>th</w:t>
      </w:r>
      <w:r>
        <w:rPr/>
        <w:t xml:space="preserve"> August 1995 and 14</w:t>
      </w:r>
      <w:r>
        <w:rPr>
          <w:vertAlign w:val="superscript"/>
        </w:rPr>
        <w:t>th</w:t>
      </w:r>
      <w:r>
        <w:rPr/>
        <w:t xml:space="preserve"> August 1995, respectively, the Claimant commenced arbitral proceedings against the Respondent pursuant to the provisions of the GOM Support Agreement and the GOM Guarantee. Those arbitral proceedings were terminated by means of a Final Consent Award made on 17</w:t>
      </w:r>
      <w:r>
        <w:rPr>
          <w:vertAlign w:val="superscript"/>
        </w:rPr>
        <w:t>th</w:t>
      </w:r>
      <w:r>
        <w:rPr/>
        <w:t xml:space="preserve"> December 1996.</w:t>
      </w:r>
    </w:p>
    <w:p>
      <w:pPr>
        <w:pStyle w:val="1LevelPara"/>
        <w:numPr>
          <w:ilvl w:val="0"/>
          <w:numId w:val="0"/>
        </w:numPr>
        <w:ind w:hanging="0" w:start="1440" w:end="0"/>
        <w:rPr/>
      </w:pPr>
      <w:r>
        <w:rPr/>
        <w:t>(c)</w:t>
        <w:tab/>
        <w:t xml:space="preserve">The Supplemental GOM Support Agreement was entered into by the Respondent following upon a decision of the executive government of the Respondent that the Project be re-instated and that the construction of Phase I of the Project be re-commenced on revised commercial terms. </w:t>
      </w:r>
    </w:p>
    <w:p>
      <w:pPr>
        <w:pStyle w:val="1LevelPara"/>
        <w:numPr>
          <w:ilvl w:val="0"/>
          <w:numId w:val="0"/>
        </w:numPr>
        <w:ind w:hanging="0" w:start="1440" w:end="0"/>
        <w:rPr/>
      </w:pPr>
      <w:r>
        <w:rPr/>
        <w:t>(d)</w:t>
        <w:tab/>
        <w:t>In order to achieve the re-instatement of the Project generally and, in particular, the re-commencement of the construction of Phase I of the Project, it was necessary (</w:t>
      </w:r>
      <w:r>
        <w:rPr>
          <w:i/>
        </w:rPr>
        <w:t>inter alia</w:t>
      </w:r>
      <w:r>
        <w:rPr/>
        <w:t>) that the Lenders to the Claimant resumed extending credit to the Claimant. That, in turn, required (</w:t>
      </w:r>
      <w:r>
        <w:rPr>
          <w:i/>
        </w:rPr>
        <w:t>inter alia</w:t>
      </w:r>
      <w:r>
        <w:rPr/>
        <w:t>) that:-</w:t>
      </w:r>
    </w:p>
    <w:p>
      <w:pPr>
        <w:pStyle w:val="1LevelPara"/>
        <w:numPr>
          <w:ilvl w:val="0"/>
          <w:numId w:val="0"/>
        </w:numPr>
        <w:ind w:hanging="0" w:start="1440" w:end="0"/>
        <w:rPr/>
      </w:pPr>
      <w:r>
        <w:rPr/>
        <w:t>(i)</w:t>
        <w:tab/>
        <w:t>the Respondent confirmed that it supported the Project generally, and, in particular, the development of the Project, and that it promised to maintain its support for the Project and the development of the Project in the future;</w:t>
      </w:r>
    </w:p>
    <w:p>
      <w:pPr>
        <w:pStyle w:val="1LevelPara"/>
        <w:numPr>
          <w:ilvl w:val="0"/>
          <w:numId w:val="0"/>
        </w:numPr>
        <w:ind w:hanging="0" w:start="1440" w:end="0"/>
        <w:rPr/>
      </w:pPr>
      <w:r>
        <w:rPr/>
        <w:t>(ii)</w:t>
        <w:tab/>
        <w:t xml:space="preserve">the Claimant and the Lenders received satisfactory assurances from the Respondent as to its compliance in the future with its obligations under the agreements relating to the Project to which it was a party, and as to the enforceability of the Lenders’ security over, and with respect to, the Project. </w:t>
      </w:r>
    </w:p>
    <w:p>
      <w:pPr>
        <w:pStyle w:val="1LevelPara"/>
        <w:numPr>
          <w:ilvl w:val="0"/>
          <w:numId w:val="0"/>
        </w:numPr>
        <w:ind w:hanging="0" w:start="1440" w:end="0"/>
        <w:rPr/>
      </w:pPr>
      <w:r>
        <w:rPr/>
        <w:t>Accordingly, the genesis and objective of the Supplemental GOM Support Agreement was to ensure that the Respondent committed itself to support the development of the Project in the light of the events which occurred.</w:t>
      </w:r>
    </w:p>
    <w:p>
      <w:pPr>
        <w:pStyle w:val="1LevelPara"/>
        <w:numPr>
          <w:ilvl w:val="0"/>
          <w:numId w:val="0"/>
        </w:numPr>
        <w:ind w:hanging="0" w:start="720" w:end="0"/>
        <w:rPr/>
      </w:pPr>
      <w:r>
        <w:rPr/>
        <w:t>(2)</w:t>
        <w:tab/>
        <w:t>Following upon a further change in the composition of the executive government of the Respondent, the Respondent has adopted and has sought to pursue a policy whose objective and/or the implementation of which policy includes or requires (</w:t>
      </w:r>
      <w:r>
        <w:rPr>
          <w:i/>
        </w:rPr>
        <w:t>inter alia</w:t>
      </w:r>
      <w:r>
        <w:rPr/>
        <w:t>) the re-negotiation of the terms of the PPA and the amendment of those terms (in particular, the tariff under the PPA) to the disadvantage of the Claimant and/or the cancellation, modification or forced abandonment (by the Claimant) of the Project (alternatively, Phase II of the Project) and/or the delay of Entry into Commercial Service of Phase II of the Project or the constituent elements thereof.</w:t>
      </w:r>
    </w:p>
    <w:p>
      <w:pPr>
        <w:pStyle w:val="1LevelPara"/>
        <w:numPr>
          <w:ilvl w:val="0"/>
          <w:numId w:val="0"/>
        </w:numPr>
        <w:ind w:hanging="0" w:start="720" w:end="0"/>
        <w:rPr/>
      </w:pPr>
      <w:r>
        <w:rPr/>
        <w:t>(3)</w:t>
        <w:tab/>
        <w:t>The articulation, and the implementation, of a policy, such as that set out and described in sub-paragraph 9(2) above, represent actions which are incompatible with the obligations assumed by the Respondent in terms of the GOM Support Agreement and the Supplemental GOM Support Agreement.</w:t>
      </w:r>
    </w:p>
    <w:p>
      <w:pPr>
        <w:pStyle w:val="1LevelPara"/>
        <w:numPr>
          <w:ilvl w:val="0"/>
          <w:numId w:val="0"/>
        </w:numPr>
        <w:ind w:hanging="0" w:start="720" w:end="0"/>
        <w:rPr/>
      </w:pPr>
      <w:r>
        <w:rPr/>
        <w:t>(4)</w:t>
        <w:tab/>
        <w:t>The Respondent has sought to implement its policy partly by means of its own actions and partly by means of actions which it has variously caused, encouraged, counselled or procured the MSEB and other entities (such as Competent Authorities) to take.</w:t>
      </w:r>
    </w:p>
    <w:p>
      <w:pPr>
        <w:pStyle w:val="Recitals"/>
        <w:numPr>
          <w:ilvl w:val="0"/>
          <w:numId w:val="0"/>
        </w:numPr>
        <w:ind w:firstLine="720" w:start="-720" w:end="0"/>
        <w:rPr>
          <w:b w:val="false"/>
        </w:rPr>
      </w:pPr>
      <w:r>
        <w:rPr>
          <w:b w:val="false"/>
        </w:rPr>
        <w:t>(b)</w:t>
        <w:tab/>
      </w:r>
      <w:r>
        <w:rPr>
          <w:b w:val="false"/>
          <w:u w:val="single"/>
        </w:rPr>
        <w:t>Public Statements by Ministers and Officials of the GOM</w:t>
      </w:r>
    </w:p>
    <w:p>
      <w:pPr>
        <w:pStyle w:val="1LevelPara"/>
        <w:numPr>
          <w:ilvl w:val="0"/>
          <w:numId w:val="18"/>
        </w:numPr>
        <w:ind w:hanging="0" w:start="0"/>
        <w:rPr/>
      </w:pPr>
      <w:r>
        <w:rPr/>
        <w:t>(1)</w:t>
        <w:tab/>
        <w:t>Ministers and officials of the Respondent have made public statements which are inconsistent with the maintenance of support for the development of the Project by the Respondent. The Claimant will refer to and rely upon (</w:t>
      </w:r>
      <w:r>
        <w:rPr>
          <w:i/>
        </w:rPr>
        <w:t>inter alia</w:t>
      </w:r>
      <w:r>
        <w:rPr/>
        <w:t>) the facts, matters and statements of the Ministers and officials of the Respondent set out in the newspaper articles referred to in the Schedule hereto.</w:t>
      </w:r>
    </w:p>
    <w:p>
      <w:pPr>
        <w:pStyle w:val="1LevelPara"/>
        <w:numPr>
          <w:ilvl w:val="0"/>
          <w:numId w:val="0"/>
        </w:numPr>
        <w:ind w:hanging="0" w:start="720" w:end="0"/>
        <w:rPr/>
      </w:pPr>
      <w:r>
        <w:rPr/>
        <w:t>(2)</w:t>
        <w:tab/>
        <w:t>On 27</w:t>
      </w:r>
      <w:r>
        <w:rPr>
          <w:vertAlign w:val="superscript"/>
        </w:rPr>
        <w:t>th</w:t>
      </w:r>
      <w:r>
        <w:rPr/>
        <w:t xml:space="preserve"> March 2001 the Finance and Planning Minister of the Respondent made a speech to the Legislative Assembly for the State of Maharashtra. His speech (at paragraph 8.2 of the printed text) was to the following effect:-</w:t>
      </w:r>
    </w:p>
    <w:p>
      <w:pPr>
        <w:pStyle w:val="1LevelPara"/>
        <w:numPr>
          <w:ilvl w:val="0"/>
          <w:numId w:val="0"/>
        </w:numPr>
        <w:spacing w:lineRule="auto" w:line="240"/>
        <w:ind w:hanging="0" w:start="1440" w:end="0"/>
        <w:rPr>
          <w:i/>
          <w:i/>
        </w:rPr>
      </w:pPr>
      <w:r>
        <w:rPr>
          <w:i/>
        </w:rPr>
        <w:t>“</w:t>
      </w:r>
      <w:r>
        <w:rPr>
          <w:i/>
        </w:rPr>
        <w:t>8.2</w:t>
        <w:tab/>
        <w:t>The phase-I of the Dabhol Power Company (DPC) project entails a monthly fixed charge of Rs. 95 crore. After the commissioning of the phase-II in the year 2001-02, MSEB will be required to pay at least Rs. 508 crore per month to Enron without drawing even a single unit of electricity. Clearly, this is an unsustainable burden for the MSEB. We have set up a Committee of several experts under the Chairmanship of Dr. Madhav Godbole, former Union Home Secretary, to look into various aspects of this project and to renegotiate the contract. We have also requested the Central Government to take over the entire project directly or through its undertakings. We must, cutting across all party lines, try to find a solution to this problem, keeping in view the immediate and long-term interests of the State.”</w:t>
      </w:r>
    </w:p>
    <w:p>
      <w:pPr>
        <w:pStyle w:val="Recitals"/>
        <w:numPr>
          <w:ilvl w:val="0"/>
          <w:numId w:val="0"/>
        </w:numPr>
        <w:ind w:firstLine="720" w:start="-720" w:end="0"/>
        <w:rPr>
          <w:b w:val="false"/>
        </w:rPr>
      </w:pPr>
      <w:r>
        <w:rPr>
          <w:b w:val="false"/>
        </w:rPr>
        <w:t>(c)</w:t>
        <w:tab/>
      </w:r>
      <w:r>
        <w:rPr>
          <w:b w:val="false"/>
          <w:u w:val="single"/>
        </w:rPr>
        <w:t>Establishment of the GOM Energy Review Committee</w:t>
      </w:r>
    </w:p>
    <w:p>
      <w:pPr>
        <w:pStyle w:val="1LevelPara"/>
        <w:numPr>
          <w:ilvl w:val="0"/>
          <w:numId w:val="18"/>
        </w:numPr>
        <w:ind w:hanging="0" w:start="0"/>
        <w:rPr/>
      </w:pPr>
      <w:r>
        <w:rPr/>
        <w:t>(1)</w:t>
        <w:tab/>
        <w:t>By a Resolution dated 9</w:t>
      </w:r>
      <w:r>
        <w:rPr>
          <w:vertAlign w:val="superscript"/>
        </w:rPr>
        <w:t>th</w:t>
      </w:r>
      <w:r>
        <w:rPr/>
        <w:t xml:space="preserve"> February 2001 (Resolution No. PSP 2001/CR3448/ NRG-2), the Respondent constituted an Energy Review Committee consisting (initially) of six members for the following purposes:-</w:t>
      </w:r>
    </w:p>
    <w:p>
      <w:pPr>
        <w:pStyle w:val="1LevelPara"/>
        <w:numPr>
          <w:ilvl w:val="0"/>
          <w:numId w:val="0"/>
        </w:numPr>
        <w:spacing w:lineRule="auto" w:line="240"/>
        <w:ind w:hanging="0" w:start="1440" w:end="0"/>
        <w:rPr>
          <w:i/>
          <w:i/>
        </w:rPr>
      </w:pPr>
      <w:r>
        <w:rPr>
          <w:i/>
        </w:rPr>
        <w:t>“</w:t>
      </w:r>
      <w:r>
        <w:rPr>
          <w:i/>
        </w:rPr>
        <w:t>Pursuant to the new power policies, several independent power projects have been and are being set up in the State of Maharashtra. Under the present policy of Government of India, export of power outside State or sale of power by Independent Power Projects (IPPs) to parties other than Maharashtra State Electricity Board (MSEB) is not permitted. The entire position of demand and supply of electric power within the State has undergone a change in the last five years.</w:t>
      </w:r>
    </w:p>
    <w:p>
      <w:pPr>
        <w:pStyle w:val="1LevelPara"/>
        <w:numPr>
          <w:ilvl w:val="0"/>
          <w:numId w:val="0"/>
        </w:numPr>
        <w:spacing w:lineRule="auto" w:line="240" w:before="0" w:after="240"/>
        <w:ind w:hanging="0" w:start="1440" w:end="0"/>
        <w:rPr>
          <w:i/>
          <w:i/>
        </w:rPr>
      </w:pPr>
      <w:r>
        <w:rPr>
          <w:i/>
        </w:rPr>
        <w:t>In view of the current scenario, the State Government is of the opinion that a general review of the power situation as well as specific review of particular IPPs, their implications and effects upon the demand and supply of power and their financial implications has become necessary.”</w:t>
      </w:r>
    </w:p>
    <w:p>
      <w:pPr>
        <w:pStyle w:val="1LevelPara"/>
        <w:numPr>
          <w:ilvl w:val="0"/>
          <w:numId w:val="0"/>
        </w:numPr>
        <w:ind w:hanging="0" w:start="720" w:end="0"/>
        <w:rPr/>
      </w:pPr>
      <w:r>
        <w:rPr/>
        <w:t>(2)</w:t>
        <w:tab/>
        <w:t>The terms of reference for the Energy Review Committee were the following:-</w:t>
      </w:r>
    </w:p>
    <w:p>
      <w:pPr>
        <w:pStyle w:val="1LevelPara"/>
        <w:numPr>
          <w:ilvl w:val="0"/>
          <w:numId w:val="0"/>
        </w:numPr>
        <w:spacing w:lineRule="auto" w:line="240"/>
        <w:ind w:hanging="0" w:start="1440" w:end="0"/>
        <w:rPr>
          <w:i/>
          <w:i/>
        </w:rPr>
      </w:pPr>
      <w:r>
        <w:rPr>
          <w:i/>
        </w:rPr>
        <w:t>“</w:t>
      </w:r>
      <w:r>
        <w:rPr>
          <w:i/>
        </w:rPr>
        <w:t>A).</w:t>
        <w:tab/>
        <w:t>To review the position of overall demand and supply of electric power in the State, with special reference to the supply of power by projects of independent power producers and purchase thereof by the MSEB for which Power Purchase Agreements (PPA) have either been signed or are proposed.</w:t>
      </w:r>
    </w:p>
    <w:p>
      <w:pPr>
        <w:pStyle w:val="1LevelPara"/>
        <w:numPr>
          <w:ilvl w:val="0"/>
          <w:numId w:val="0"/>
        </w:numPr>
        <w:spacing w:lineRule="auto" w:line="240"/>
        <w:ind w:hanging="0" w:start="1440" w:end="0"/>
        <w:rPr>
          <w:i/>
          <w:i/>
        </w:rPr>
      </w:pPr>
      <w:r>
        <w:rPr>
          <w:i/>
        </w:rPr>
        <w:t>B).</w:t>
        <w:tab/>
        <w:t>To examine the cost of power supplied by the DPC and the distribution of power losses and its implications on the finances/tariff of MSEB.</w:t>
      </w:r>
    </w:p>
    <w:p>
      <w:pPr>
        <w:pStyle w:val="1LevelPara"/>
        <w:numPr>
          <w:ilvl w:val="0"/>
          <w:numId w:val="0"/>
        </w:numPr>
        <w:spacing w:lineRule="auto" w:line="240"/>
        <w:ind w:hanging="0" w:start="1440" w:end="0"/>
        <w:rPr>
          <w:i/>
          <w:i/>
        </w:rPr>
      </w:pPr>
      <w:r>
        <w:rPr>
          <w:i/>
        </w:rPr>
        <w:t>C).</w:t>
        <w:tab/>
        <w:t>To review and reconsider the provisions of the PPA signed with the DPC after holding discussions with the said Company, the MSEB and related authorities …”</w:t>
      </w:r>
    </w:p>
    <w:p>
      <w:pPr>
        <w:pStyle w:val="1LevelPara"/>
        <w:numPr>
          <w:ilvl w:val="0"/>
          <w:numId w:val="0"/>
        </w:numPr>
        <w:ind w:hanging="0" w:start="720" w:end="0"/>
        <w:rPr/>
      </w:pPr>
      <w:r>
        <w:rPr/>
        <w:t>(3)</w:t>
        <w:tab/>
        <w:t>The Respondent’s Resolution dated 9</w:t>
      </w:r>
      <w:r>
        <w:rPr>
          <w:vertAlign w:val="superscript"/>
        </w:rPr>
        <w:t>th</w:t>
      </w:r>
      <w:r>
        <w:rPr/>
        <w:t xml:space="preserve"> February 2001 was amended by a further Resolution dated 9</w:t>
      </w:r>
      <w:r>
        <w:rPr>
          <w:vertAlign w:val="superscript"/>
        </w:rPr>
        <w:t>th</w:t>
      </w:r>
      <w:r>
        <w:rPr/>
        <w:t xml:space="preserve"> March 2001 (Resolution No. PSP 2001/CR 3443/NRG-2) which provided for additional terms of reference for the Energy Review Committee which included </w:t>
      </w:r>
      <w:r>
        <w:rPr>
          <w:i/>
        </w:rPr>
        <w:t>(inter alia)</w:t>
      </w:r>
      <w:r>
        <w:rPr/>
        <w:t xml:space="preserve"> the following:-</w:t>
      </w:r>
    </w:p>
    <w:p>
      <w:pPr>
        <w:pStyle w:val="1LevelPara"/>
        <w:numPr>
          <w:ilvl w:val="0"/>
          <w:numId w:val="0"/>
        </w:numPr>
        <w:spacing w:lineRule="auto" w:line="240"/>
        <w:ind w:hanging="720" w:start="1440" w:end="0"/>
        <w:rPr/>
      </w:pPr>
      <w:r>
        <w:rPr/>
        <w:tab/>
      </w:r>
      <w:r>
        <w:rPr>
          <w:i/>
        </w:rPr>
        <w:t>“3.</w:t>
        <w:tab/>
        <w:t>Evaluate and review Dabhol Power Project, review any and all of its clearances, tariff, and all aspects in the context of the relevant laws and notifications as may be applicable at any specific time …</w:t>
      </w:r>
    </w:p>
    <w:p>
      <w:pPr>
        <w:pStyle w:val="1LevelPara"/>
        <w:numPr>
          <w:ilvl w:val="0"/>
          <w:numId w:val="0"/>
        </w:numPr>
        <w:spacing w:lineRule="auto" w:line="240"/>
        <w:ind w:hanging="720" w:start="1440" w:end="0"/>
        <w:rPr>
          <w:i/>
          <w:i/>
        </w:rPr>
      </w:pPr>
      <w:r>
        <w:rPr>
          <w:i/>
        </w:rPr>
        <w:tab/>
        <w:t>5.</w:t>
        <w:tab/>
        <w:t>Negotiate with Dabhol Power Company on behalf of State Government and Maharashtra State Electricity Board for lowering the tariff, capital cost and all other aspects of Dabhol Power Project …”</w:t>
      </w:r>
    </w:p>
    <w:p>
      <w:pPr>
        <w:pStyle w:val="1LevelPara"/>
        <w:numPr>
          <w:ilvl w:val="0"/>
          <w:numId w:val="0"/>
        </w:numPr>
        <w:spacing w:lineRule="auto" w:line="240"/>
        <w:ind w:hanging="720" w:start="1440" w:end="0"/>
        <w:rPr>
          <w:i/>
          <w:i/>
        </w:rPr>
      </w:pPr>
      <w:r>
        <w:rPr>
          <w:i/>
        </w:rPr>
      </w:r>
    </w:p>
    <w:p>
      <w:pPr>
        <w:pStyle w:val="1LevelPara"/>
        <w:numPr>
          <w:ilvl w:val="0"/>
          <w:numId w:val="0"/>
        </w:numPr>
        <w:ind w:hanging="0" w:start="720" w:end="0"/>
        <w:rPr/>
      </w:pPr>
      <w:r>
        <w:rPr/>
        <w:t>By paragraph 3 of the additional terms of reference, the Respondent (in terms) has invited the Energy Review Committee to examine the Clearances for the Project and the tariff under the PPA in order to ascertain whether any fault or defect might be found in the same which might supply the Respondent with justification for their revocation or modification.</w:t>
      </w:r>
    </w:p>
    <w:p>
      <w:pPr>
        <w:pStyle w:val="1LevelPara"/>
        <w:numPr>
          <w:ilvl w:val="0"/>
          <w:numId w:val="0"/>
        </w:numPr>
        <w:ind w:hanging="720" w:start="1440" w:end="0"/>
        <w:rPr/>
      </w:pPr>
      <w:r>
        <w:rPr/>
        <w:t>(4)</w:t>
        <w:tab/>
        <w:t>(a)</w:t>
        <w:tab/>
        <w:t>The expressed purposes of the Resolution notwithstanding, the primary function of the Energy Review Committee was and is a review of the Project and the PPA.</w:t>
      </w:r>
    </w:p>
    <w:p>
      <w:pPr>
        <w:pStyle w:val="1LevelPara"/>
        <w:numPr>
          <w:ilvl w:val="0"/>
          <w:numId w:val="0"/>
        </w:numPr>
        <w:ind w:hanging="0" w:start="1440" w:end="0"/>
        <w:rPr/>
      </w:pPr>
      <w:r>
        <w:rPr/>
        <w:t>(b)</w:t>
        <w:tab/>
        <w:t>The Energy Review Committee was neither invited nor required by the Respondent to review or to assess the costs or the tariff of any other private sector power station operator in the State of Maharashtra, nor has it in fact done so.</w:t>
      </w:r>
    </w:p>
    <w:p>
      <w:pPr>
        <w:pStyle w:val="1LevelPara"/>
        <w:numPr>
          <w:ilvl w:val="0"/>
          <w:numId w:val="0"/>
        </w:numPr>
        <w:ind w:hanging="0" w:start="1440" w:end="0"/>
        <w:rPr/>
      </w:pPr>
      <w:r>
        <w:rPr/>
        <w:t>(c)</w:t>
        <w:tab/>
        <w:t xml:space="preserve">The Claimant will say that the Energy Review Committee was set up by the Respondent in order to provide the executive government of the Respondent with superficially colourable grounds with which to seek to re-negotiate the terms of the PPA (in order to achieve the </w:t>
      </w:r>
      <w:r>
        <w:rPr>
          <w:i/>
        </w:rPr>
        <w:t>a priori</w:t>
      </w:r>
      <w:r>
        <w:rPr/>
        <w:t xml:space="preserve"> determined objective of the Respondent’s policy), and, accordingly, to do precisely the opposite of that which the Respondent had bound itself to do under the GOM Support Agreement and the Supplemental GOM Support Agreement (namely, to support the development of the Project and to ensure the proper performance by it and by the MSEB of their respective obligations under the GOM Guarantee and the PPA).</w:t>
      </w:r>
    </w:p>
    <w:p>
      <w:pPr>
        <w:pStyle w:val="Recitals"/>
        <w:numPr>
          <w:ilvl w:val="0"/>
          <w:numId w:val="0"/>
        </w:numPr>
        <w:ind w:firstLine="720" w:start="-720" w:end="0"/>
        <w:rPr>
          <w:b w:val="false"/>
        </w:rPr>
      </w:pPr>
      <w:r>
        <w:rPr>
          <w:b w:val="false"/>
        </w:rPr>
        <w:t>(d)</w:t>
        <w:tab/>
      </w:r>
      <w:r>
        <w:rPr>
          <w:b w:val="false"/>
          <w:u w:val="single"/>
        </w:rPr>
        <w:t>GOM Guarantee Not Honoured</w:t>
      </w:r>
    </w:p>
    <w:p>
      <w:pPr>
        <w:pStyle w:val="1LevelPara"/>
        <w:numPr>
          <w:ilvl w:val="0"/>
          <w:numId w:val="18"/>
        </w:numPr>
        <w:ind w:hanging="0" w:start="0"/>
        <w:rPr/>
      </w:pPr>
      <w:r>
        <w:rPr/>
        <w:t>(1)</w:t>
        <w:tab/>
        <w:t>In terms of Clause 1 of the GOM Guarantee, the GOM irrevocably and unconditionally agreed to pay to the Claimant, within 7 calendar days of demand by the Claimant thereunder, any and every sum of money which the MSEB is liable to pay the Claimant under the PPA but shall have failed to pay in accordance with the terms of the PPA.</w:t>
      </w:r>
    </w:p>
    <w:p>
      <w:pPr>
        <w:pStyle w:val="1LevelPara"/>
        <w:numPr>
          <w:ilvl w:val="0"/>
          <w:numId w:val="0"/>
        </w:numPr>
        <w:ind w:hanging="0" w:start="720" w:end="0"/>
        <w:rPr/>
      </w:pPr>
      <w:r>
        <w:rPr/>
        <w:t>(2)</w:t>
        <w:tab/>
        <w:t>On or about 25</w:t>
      </w:r>
      <w:r>
        <w:rPr>
          <w:vertAlign w:val="superscript"/>
        </w:rPr>
        <w:t>th</w:t>
      </w:r>
      <w:r>
        <w:rPr/>
        <w:t xml:space="preserve"> January 2001, 6</w:t>
      </w:r>
      <w:r>
        <w:rPr>
          <w:vertAlign w:val="superscript"/>
        </w:rPr>
        <w:t>th</w:t>
      </w:r>
      <w:r>
        <w:rPr/>
        <w:t xml:space="preserve"> February 2001 and 3</w:t>
      </w:r>
      <w:r>
        <w:rPr>
          <w:vertAlign w:val="superscript"/>
        </w:rPr>
        <w:t>rd</w:t>
      </w:r>
      <w:r>
        <w:rPr/>
        <w:t xml:space="preserve"> April 2001 the Claimant made four demands upon the Respondent under the GOM Guarantee.  On each such occasion the Respondent has failed to pay to the Claimant the sums which it was obliged to pay to the Claimant in pursuance of the GOM Guarantee. The first occasion upon which the Respondent defaulted upon its obligations under the GOM Guarantee was on or about 1</w:t>
      </w:r>
      <w:r>
        <w:rPr>
          <w:vertAlign w:val="superscript"/>
        </w:rPr>
        <w:t>st</w:t>
      </w:r>
      <w:r>
        <w:rPr/>
        <w:t xml:space="preserve"> February 2001.</w:t>
      </w:r>
    </w:p>
    <w:p>
      <w:pPr>
        <w:pStyle w:val="1LevelPara"/>
        <w:numPr>
          <w:ilvl w:val="0"/>
          <w:numId w:val="0"/>
        </w:numPr>
        <w:ind w:hanging="0" w:start="720" w:end="0"/>
        <w:rPr/>
      </w:pPr>
      <w:r>
        <w:rPr/>
        <w:t>(3)</w:t>
        <w:tab/>
        <w:t>On 5</w:t>
      </w:r>
      <w:r>
        <w:rPr>
          <w:vertAlign w:val="superscript"/>
        </w:rPr>
        <w:t>th</w:t>
      </w:r>
      <w:r>
        <w:rPr/>
        <w:t xml:space="preserve"> February 2001, the Finance and Planning Minister of the Respondent, Mr Jayant Rajaram Patil made a statement to a reporter of “The Economic Times” commenting upon the decision of a credit-rating agency to downgrade the credit-rating of the Respondent following upon the Respondent’s default and failure to honour the first of the demands made of it by the Claimant under the GOM Guarantee on 25</w:t>
      </w:r>
      <w:r>
        <w:rPr>
          <w:vertAlign w:val="superscript"/>
        </w:rPr>
        <w:t>th</w:t>
      </w:r>
      <w:r>
        <w:rPr/>
        <w:t xml:space="preserve"> January 2001. He stated that:-</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we have refused to honour our contractual obligations by choice. It is our strategic decision not to pay Enron as we want to scrap the power purchase agreement the state has with the company … Our decision not to pay Enron has nothing to do with the state’s finances.”</w:t>
      </w:r>
    </w:p>
    <w:p>
      <w:pPr>
        <w:pStyle w:val="1LevelPara"/>
        <w:numPr>
          <w:ilvl w:val="0"/>
          <w:numId w:val="0"/>
        </w:numPr>
        <w:ind w:hanging="0" w:start="720" w:end="0"/>
        <w:rPr/>
      </w:pPr>
      <w:r>
        <w:rPr/>
        <w:t>(4)</w:t>
        <w:tab/>
        <w:t>Likewise, on or about 6</w:t>
      </w:r>
      <w:r>
        <w:rPr>
          <w:vertAlign w:val="superscript"/>
        </w:rPr>
        <w:t>th</w:t>
      </w:r>
      <w:r>
        <w:rPr/>
        <w:t xml:space="preserve"> February 2001, the Finance and Planning Minister of the Respondent made a statement to a reporter of the “Business Standard” as follows:-</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The non-payment of dues by the state government was necessitated by the contractual disagreement that arose and not because the government was unable to afford making payments. … This does not mean that the state is not able to fulfil its financial commitments. …</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When the rating agency informed us about the downgradation, we told them that it was not because we were short of funds but because the state had decided to set up a review committee that would look into the issue and recommend whether we needed to renegotiate with the company or follow some other avenue for resolving the problem of increased tariffs.”</w:t>
      </w:r>
    </w:p>
    <w:p>
      <w:pPr>
        <w:pStyle w:val="Recitals"/>
        <w:numPr>
          <w:ilvl w:val="0"/>
          <w:numId w:val="0"/>
        </w:numPr>
        <w:ind w:firstLine="720" w:start="-720" w:end="0"/>
        <w:rPr>
          <w:b w:val="false"/>
        </w:rPr>
      </w:pPr>
      <w:r>
        <w:rPr>
          <w:b w:val="false"/>
        </w:rPr>
        <w:t>(e)</w:t>
        <w:tab/>
      </w:r>
      <w:r>
        <w:rPr>
          <w:b w:val="false"/>
          <w:u w:val="single"/>
        </w:rPr>
        <w:t>GOI Guarantee Not Honoured</w:t>
      </w:r>
    </w:p>
    <w:p>
      <w:pPr>
        <w:pStyle w:val="1LevelPara"/>
        <w:numPr>
          <w:ilvl w:val="0"/>
          <w:numId w:val="18"/>
        </w:numPr>
        <w:ind w:hanging="0" w:start="0"/>
        <w:rPr/>
      </w:pPr>
      <w:r>
        <w:rPr/>
        <w:t>(1)</w:t>
        <w:tab/>
        <w:t>On or about 8</w:t>
      </w:r>
      <w:r>
        <w:rPr>
          <w:vertAlign w:val="superscript"/>
        </w:rPr>
        <w:t>th</w:t>
      </w:r>
      <w:r>
        <w:rPr/>
        <w:t xml:space="preserve"> March 2001 (by a letter dated 7</w:t>
      </w:r>
      <w:r>
        <w:rPr>
          <w:vertAlign w:val="superscript"/>
        </w:rPr>
        <w:t>th</w:t>
      </w:r>
      <w:r>
        <w:rPr/>
        <w:t xml:space="preserve"> March 2001), the Claimant made demand upon the Government of India (“the GOI”) pursuant to the provisions of a Guarantee given by The Union of India in favour of the Claimant on 15</w:t>
      </w:r>
      <w:r>
        <w:rPr>
          <w:vertAlign w:val="superscript"/>
        </w:rPr>
        <w:t>th</w:t>
      </w:r>
      <w:r>
        <w:rPr/>
        <w:t xml:space="preserve"> September 1994 (“the GOI Guarantee”) for the payment of the sum of Rs. 1,020,000,000.00, which sum was (a) due and payable by the MSEB to the Claimant on 25</w:t>
      </w:r>
      <w:r>
        <w:rPr>
          <w:vertAlign w:val="superscript"/>
        </w:rPr>
        <w:t>th</w:t>
      </w:r>
      <w:r>
        <w:rPr/>
        <w:t xml:space="preserve"> January 2001 under the PPA and in terms of the Claimant’s monthly billing statement relating to the month of December 2000 dated 5</w:t>
      </w:r>
      <w:r>
        <w:rPr>
          <w:vertAlign w:val="superscript"/>
        </w:rPr>
        <w:t>th</w:t>
      </w:r>
      <w:r>
        <w:rPr/>
        <w:t xml:space="preserve"> January 2001 (but which the MSEB had failed to pay to the Claimant on the due date for payment) and (b) due and payable by the Respondent under the GOM Guarantee on 13</w:t>
      </w:r>
      <w:r>
        <w:rPr>
          <w:vertAlign w:val="superscript"/>
        </w:rPr>
        <w:t>th</w:t>
      </w:r>
      <w:r>
        <w:rPr/>
        <w:t xml:space="preserve"> February 2001 pursuant to a demand therefor made by the Claimant by a letter dated 5</w:t>
      </w:r>
      <w:r>
        <w:rPr>
          <w:vertAlign w:val="superscript"/>
        </w:rPr>
        <w:t>th</w:t>
      </w:r>
      <w:r>
        <w:rPr/>
        <w:t xml:space="preserve"> February 2001 (but which the Respondent had failed to pay to the Claimant on the due date for payment).</w:t>
      </w:r>
    </w:p>
    <w:p>
      <w:pPr>
        <w:pStyle w:val="1LevelPara"/>
        <w:numPr>
          <w:ilvl w:val="0"/>
          <w:numId w:val="0"/>
        </w:numPr>
        <w:ind w:hanging="0" w:start="720" w:end="0"/>
        <w:rPr/>
      </w:pPr>
      <w:r>
        <w:rPr/>
        <w:t>(2)</w:t>
        <w:tab/>
        <w:t>By a letter dated 31</w:t>
      </w:r>
      <w:r>
        <w:rPr>
          <w:vertAlign w:val="superscript"/>
        </w:rPr>
        <w:t>st</w:t>
      </w:r>
      <w:r>
        <w:rPr/>
        <w:t xml:space="preserve"> March 2001 the GOI wrongfully refused to pay the sum of Rs. 1,020,000,000.00 due to the Claimant under the GOI Guarantee. In paragraph 5 of that letter the GOI referred to a letter having been received by it from the Respondent dated 15</w:t>
      </w:r>
      <w:r>
        <w:rPr>
          <w:vertAlign w:val="superscript"/>
        </w:rPr>
        <w:t>th</w:t>
      </w:r>
      <w:r>
        <w:rPr/>
        <w:t xml:space="preserve"> March 2001 requesting, requiring, encouraging, counselling and (in the event) procuring that the GOI not make any payment to the Claimant in response to the demand made by the Claimant under the GOI Guarantee. That action was taken in furtherance or implementation of the policy of the Respondent described in sub-paragraph 9(2) above.</w:t>
      </w:r>
    </w:p>
    <w:p>
      <w:pPr>
        <w:pStyle w:val="Recitals"/>
        <w:numPr>
          <w:ilvl w:val="0"/>
          <w:numId w:val="0"/>
        </w:numPr>
        <w:ind w:firstLine="720" w:start="-720" w:end="0"/>
        <w:rPr>
          <w:b w:val="false"/>
        </w:rPr>
      </w:pPr>
      <w:r>
        <w:rPr>
          <w:b w:val="false"/>
        </w:rPr>
        <w:t>(f)</w:t>
        <w:tab/>
      </w:r>
      <w:r>
        <w:rPr>
          <w:b w:val="false"/>
          <w:u w:val="single"/>
        </w:rPr>
        <w:t>Non-Payment and Misperformance by the MSEB under the PPA</w:t>
      </w:r>
    </w:p>
    <w:p>
      <w:pPr>
        <w:pStyle w:val="1LevelPara"/>
        <w:numPr>
          <w:ilvl w:val="0"/>
          <w:numId w:val="18"/>
        </w:numPr>
        <w:ind w:hanging="0" w:start="0"/>
        <w:rPr/>
      </w:pPr>
      <w:r>
        <w:rPr/>
        <w:t>(1)</w:t>
        <w:tab/>
        <w:t>The MSEB is a statutory corporation incorporated under the Electricity (Supply) Act 1948. The Respondent controls the board of directors of the MSEB. In addition, through the provision (</w:t>
      </w:r>
      <w:r>
        <w:rPr>
          <w:i/>
        </w:rPr>
        <w:t>inter alia</w:t>
      </w:r>
      <w:r>
        <w:rPr/>
        <w:t xml:space="preserve">) of financial assistance and/or subventions made by the Respondent to the MSEB, the Respondent controls the finances of the MSEB and is, as a practical matter, able to exert, and does in fact exert, a high degree of control over the management of the MSEB and the conduct of its day-to-day business including (without limitation) the time, order of priority and/or extent to which the MSEB pays its suppliers, creditors and those who provide finance to it. When and where it chooses to do so, the Respondent controls and directs the policies and actions of the MSEB. </w:t>
      </w:r>
    </w:p>
    <w:p>
      <w:pPr>
        <w:pStyle w:val="1LevelPara"/>
        <w:numPr>
          <w:ilvl w:val="0"/>
          <w:numId w:val="0"/>
        </w:numPr>
        <w:ind w:hanging="0" w:start="720" w:end="0"/>
        <w:rPr/>
      </w:pPr>
      <w:r>
        <w:rPr/>
        <w:t>(2)</w:t>
        <w:tab/>
        <w:t>Under and in terms of Clause 11.2(f) of the PPA, the MSEB is obliged to pay the sums brought out as due and owing by it to the Claimant in terms of the monthly billing statements delivered to it under Clause 11.1(a) of the PPA by not later than the dates specified in Clause 11.2(f). For a number of months the MSEB has persistently failed to pay to the Claimant all such sums as have become due to it under the PPA punctually or (in certain cases) at all.</w:t>
      </w:r>
    </w:p>
    <w:p>
      <w:pPr>
        <w:pStyle w:val="1LevelPara"/>
        <w:numPr>
          <w:ilvl w:val="0"/>
          <w:numId w:val="0"/>
        </w:numPr>
        <w:ind w:hanging="0" w:start="720" w:end="0"/>
        <w:rPr/>
      </w:pPr>
      <w:r>
        <w:rPr/>
        <w:t>(3)</w:t>
        <w:tab/>
        <w:t>Further, since 28</w:t>
      </w:r>
      <w:r>
        <w:rPr>
          <w:vertAlign w:val="superscript"/>
        </w:rPr>
        <w:t>th</w:t>
      </w:r>
      <w:r>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 The pattern of the MSEB’s Despatch Instructions are wholly unrelated to the MSEB’s actual requirements for electrical energy. The times and the manner in which the MSEB has given its Despatch Instructions demonstrate that they were not given for </w:t>
      </w:r>
      <w:r>
        <w:rPr>
          <w:i/>
        </w:rPr>
        <w:t xml:space="preserve">bona fide </w:t>
      </w:r>
      <w:r>
        <w:rPr/>
        <w:t>operational reasons.  The MSEB’s practices of giving such Despatch Instructions forms a part of its pattern of the misperformance by it of the obligations which it owes to the Claimant under the PPA.</w:t>
      </w:r>
    </w:p>
    <w:p>
      <w:pPr>
        <w:pStyle w:val="1LevelPara"/>
        <w:numPr>
          <w:ilvl w:val="0"/>
          <w:numId w:val="0"/>
        </w:numPr>
        <w:ind w:hanging="0" w:start="720" w:end="0"/>
        <w:rPr/>
      </w:pPr>
      <w:r>
        <w:rPr/>
        <w:t>(4)</w:t>
        <w:tab/>
        <w:t>The Respondent has sought to procure, cause or require the MSEB to fail to comply, alternatively to fail to comply punctually, with the obligations owed by the MSEB to the Claimant under the PPA in pursuance of the policy referred to and described in sub-paragraph 9(2) above. Alternatively, the actions set out or referred to in sub-paragraph 14(2) and 14(3) above have been taken by the MSEB as part of a joint design with the Respondent (whose objective is the furtherance of the policy described in sub-paragraph 9(2) above) and/or with the Respondent’s prior knowledge, its consent and its concurrence.</w:t>
      </w:r>
    </w:p>
    <w:p>
      <w:pPr>
        <w:pStyle w:val="Recitals"/>
        <w:numPr>
          <w:ilvl w:val="0"/>
          <w:numId w:val="0"/>
        </w:numPr>
        <w:ind w:firstLine="720" w:start="-720" w:end="0"/>
        <w:rPr>
          <w:b w:val="false"/>
        </w:rPr>
      </w:pPr>
      <w:r>
        <w:rPr>
          <w:b w:val="false"/>
        </w:rPr>
        <w:t>(g)</w:t>
        <w:tab/>
      </w:r>
      <w:r>
        <w:rPr>
          <w:b w:val="false"/>
          <w:u w:val="single"/>
        </w:rPr>
        <w:t>Delay or Refusal to Grant Clearances</w:t>
      </w:r>
    </w:p>
    <w:p>
      <w:pPr>
        <w:pStyle w:val="1LevelPara"/>
        <w:numPr>
          <w:ilvl w:val="0"/>
          <w:numId w:val="18"/>
        </w:numPr>
        <w:ind w:hanging="0" w:start="0"/>
        <w:rPr/>
      </w:pPr>
      <w:r>
        <w:rPr/>
        <w:t>(1)</w:t>
        <w:tab/>
        <w:t>In order to be entitled to operate the Power Station the Claimant requires to hold a consent to operate the Power Station issued by the Maharashtra Pollution Control Board (“the MPCB”), an agency of the Respondent constituted under section 4 of the Water (Prevention and Control of Pollution) Act 1974.  The MPCB is a Competent Authority.</w:t>
      </w:r>
    </w:p>
    <w:p>
      <w:pPr>
        <w:pStyle w:val="1LevelPara"/>
        <w:numPr>
          <w:ilvl w:val="0"/>
          <w:numId w:val="0"/>
        </w:numPr>
        <w:ind w:hanging="720" w:start="1440" w:end="0"/>
        <w:rPr/>
      </w:pPr>
      <w:r>
        <w:rPr/>
        <w:t>(2)</w:t>
        <w:tab/>
        <w:t>(a)</w:t>
        <w:tab/>
        <w:t>The Claimant applied to the MPCB for a clearance, namely, a consent to operate the Power Station, and was granted a consent to operate on 20</w:t>
      </w:r>
      <w:r>
        <w:rPr>
          <w:vertAlign w:val="superscript"/>
        </w:rPr>
        <w:t>th</w:t>
      </w:r>
      <w:r>
        <w:rPr/>
        <w:t xml:space="preserve"> May 1999. The Claimant’s consent to operate the Power Station was valid until 31</w:t>
      </w:r>
      <w:r>
        <w:rPr>
          <w:vertAlign w:val="superscript"/>
        </w:rPr>
        <w:t>st</w:t>
      </w:r>
      <w:r>
        <w:rPr/>
        <w:t xml:space="preserve"> March 2001.</w:t>
      </w:r>
    </w:p>
    <w:p>
      <w:pPr>
        <w:pStyle w:val="1LevelPara"/>
        <w:numPr>
          <w:ilvl w:val="0"/>
          <w:numId w:val="0"/>
        </w:numPr>
        <w:ind w:hanging="0" w:start="1440" w:end="0"/>
        <w:rPr/>
      </w:pPr>
      <w:r>
        <w:rPr/>
        <w:t>(b)</w:t>
        <w:tab/>
        <w:t>On or about 22</w:t>
      </w:r>
      <w:r>
        <w:rPr>
          <w:vertAlign w:val="superscript"/>
        </w:rPr>
        <w:t>nd</w:t>
      </w:r>
      <w:r>
        <w:rPr/>
        <w:t xml:space="preserve"> January 2001, the Claimant applied to the MPCB for a renewal of its consent to operate the Power Station for a further period to take effect as from 31</w:t>
      </w:r>
      <w:r>
        <w:rPr>
          <w:vertAlign w:val="superscript"/>
        </w:rPr>
        <w:t>st</w:t>
      </w:r>
      <w:r>
        <w:rPr/>
        <w:t xml:space="preserve"> March 2001.</w:t>
      </w:r>
    </w:p>
    <w:p>
      <w:pPr>
        <w:pStyle w:val="1LevelPara"/>
        <w:numPr>
          <w:ilvl w:val="0"/>
          <w:numId w:val="0"/>
        </w:numPr>
        <w:ind w:hanging="0" w:start="1440" w:end="0"/>
        <w:rPr/>
      </w:pPr>
      <w:r>
        <w:rPr/>
        <w:t>(c)</w:t>
        <w:tab/>
        <w:t>Although numerous requests were made of it by the Claimant prior to 31</w:t>
      </w:r>
      <w:r>
        <w:rPr>
          <w:vertAlign w:val="superscript"/>
        </w:rPr>
        <w:t>st</w:t>
      </w:r>
      <w:r>
        <w:rPr/>
        <w:t xml:space="preserve"> March 2001, the MPCB has failed to renew the Claimant’s consent to operate the Power Station for a further period as requested by the Claimant. By a letter dated 31</w:t>
      </w:r>
      <w:r>
        <w:rPr>
          <w:vertAlign w:val="superscript"/>
        </w:rPr>
        <w:t>st</w:t>
      </w:r>
      <w:r>
        <w:rPr/>
        <w:t xml:space="preserve"> March 2001 the MPCB informed the Claimant that its application for a renewal of its consent to operate had been referred to the Consent Appraisal Board of the MPCB, but that no decision had been taken. The Claimant was informed that, pending the decision of the Consent Appraisal Board of the MPCB, the Claimant might continue to treat its prior consent to operate the Power Station dated 20</w:t>
      </w:r>
      <w:r>
        <w:rPr>
          <w:vertAlign w:val="superscript"/>
        </w:rPr>
        <w:t>th</w:t>
      </w:r>
      <w:r>
        <w:rPr/>
        <w:t xml:space="preserve"> May 1999 as valid.</w:t>
      </w:r>
    </w:p>
    <w:p>
      <w:pPr>
        <w:pStyle w:val="1LevelPara"/>
        <w:numPr>
          <w:ilvl w:val="0"/>
          <w:numId w:val="0"/>
        </w:numPr>
        <w:ind w:hanging="0" w:start="720" w:end="0"/>
        <w:rPr/>
      </w:pPr>
      <w:r>
        <w:rPr/>
        <w:t>(3)</w:t>
        <w:tab/>
        <w:t>On 21</w:t>
      </w:r>
      <w:r>
        <w:rPr>
          <w:vertAlign w:val="superscript"/>
        </w:rPr>
        <w:t>st</w:t>
      </w:r>
      <w:r>
        <w:rPr/>
        <w:t xml:space="preserve"> January 2001, the Claimant commenced testing and commissioning of the first Block of Phase II.  On 24</w:t>
      </w:r>
      <w:r>
        <w:rPr>
          <w:vertAlign w:val="superscript"/>
        </w:rPr>
        <w:t>th</w:t>
      </w:r>
      <w:r>
        <w:rPr/>
        <w:t xml:space="preserve"> November 2000, the Claimant notified the MPCB in advance of its intention to test Phase II.  On 9</w:t>
      </w:r>
      <w:r>
        <w:rPr>
          <w:vertAlign w:val="superscript"/>
        </w:rPr>
        <w:t>th</w:t>
      </w:r>
      <w:r>
        <w:rPr/>
        <w:t xml:space="preserve"> March 2001, almost four months after receiving notice from the Claimant of its intention to test Phase II, the MPCB served a notice which purported to prohibit the Claimant from testing and commissioning Phase II.  MPCB withheld its permission for such testing and commissioning until 4</w:t>
      </w:r>
      <w:r>
        <w:rPr>
          <w:vertAlign w:val="superscript"/>
        </w:rPr>
        <w:t>th</w:t>
      </w:r>
      <w:r>
        <w:rPr/>
        <w:t xml:space="preserve"> April 2001, at which time it agreed to permit testing and commissioning but only for a limited period of time and only upon compliance with numerous additional conditions not included in the Claimant’s consent to establish.  There was no legal basis for the purported prohibition of the testing and commissioning of the first Block of Phase II, nor for the additional conditions, and the MPCB’s actions conflicted with the practice established by the MPCB and the Claimant in relation to the testing and commissioning of Phase I.</w:t>
      </w:r>
    </w:p>
    <w:p>
      <w:pPr>
        <w:pStyle w:val="1LevelPara"/>
        <w:numPr>
          <w:ilvl w:val="0"/>
          <w:numId w:val="0"/>
        </w:numPr>
        <w:ind w:hanging="0" w:start="720" w:end="0"/>
        <w:rPr/>
      </w:pPr>
      <w:r>
        <w:rPr/>
        <w:t>(4)</w:t>
        <w:tab/>
        <w:t>Subsequently, on 4</w:t>
      </w:r>
      <w:r>
        <w:rPr>
          <w:vertAlign w:val="superscript"/>
        </w:rPr>
        <w:t>th</w:t>
      </w:r>
      <w:r>
        <w:rPr/>
        <w:t xml:space="preserve"> April 2001, following representations addressed to the MPCB the MPCB purported to grant a permission to the Claimant to permit testing and commissioning under the Claimant’s consent to establish.  This action taken by the MPCB was wholly unnecessary and unwarranted.  The MPCB was not lawfully entitled to purport to limit the period for testing and commissioning to a period running from 4</w:t>
      </w:r>
      <w:r>
        <w:rPr>
          <w:vertAlign w:val="superscript"/>
        </w:rPr>
        <w:t>th</w:t>
      </w:r>
      <w:r>
        <w:rPr/>
        <w:t xml:space="preserve"> April 2001 to 30</w:t>
      </w:r>
      <w:r>
        <w:rPr>
          <w:vertAlign w:val="superscript"/>
        </w:rPr>
        <w:t>th</w:t>
      </w:r>
      <w:r>
        <w:rPr/>
        <w:t xml:space="preserve"> June 2001 because (</w:t>
      </w:r>
      <w:r>
        <w:rPr>
          <w:i/>
        </w:rPr>
        <w:t>inter alia</w:t>
      </w:r>
      <w:r>
        <w:rPr/>
        <w:t>) the Claimant was in any event fully entitled to conduct the testing and commissioning of Phase II of the Project under its consent to establish.</w:t>
      </w:r>
    </w:p>
    <w:p>
      <w:pPr>
        <w:pStyle w:val="1LevelPara"/>
        <w:numPr>
          <w:ilvl w:val="0"/>
          <w:numId w:val="0"/>
        </w:numPr>
        <w:ind w:hanging="0" w:start="720" w:end="0"/>
        <w:rPr/>
      </w:pPr>
      <w:r>
        <w:rPr/>
        <w:t>(5)</w:t>
        <w:tab/>
        <w:t>The Respondent has given directions to and/or has counselled and procured the MPCB, through its officers, to delay or to withhold the Clearances to which the Claimant is properly entitled and/or to purport to impose requirements for Clearances which the MPCB was not entitled in law to impose, or alternatively has counselled or procured the MPCB to like effect.</w:t>
      </w:r>
    </w:p>
    <w:p>
      <w:pPr>
        <w:pStyle w:val="1LevelPara"/>
        <w:numPr>
          <w:ilvl w:val="0"/>
          <w:numId w:val="0"/>
        </w:numPr>
        <w:ind w:hanging="0" w:start="720" w:end="0"/>
        <w:rPr/>
      </w:pPr>
      <w:r>
        <w:rPr/>
        <w:t>(6)</w:t>
        <w:tab/>
        <w:t>In public statements made on or about 11</w:t>
      </w:r>
      <w:r>
        <w:rPr>
          <w:vertAlign w:val="superscript"/>
        </w:rPr>
        <w:t>th</w:t>
      </w:r>
      <w:r>
        <w:rPr/>
        <w:t xml:space="preserve"> March 2001, the Chief Minister of the Respondent directed the MPCB to scrutinise operations at the Power Station three days after the MPCB’s field representatives completed a plant inspection and circulated a report concluding that the plant was in compliance with all operating regulations.  The Chief Minister of the Respondent has no proper or lawful right to seek to direct or to influence the manner in which the MPCB discharges its statutory duties.</w:t>
      </w:r>
    </w:p>
    <w:p>
      <w:pPr>
        <w:pStyle w:val="Recitals"/>
        <w:numPr>
          <w:ilvl w:val="0"/>
          <w:numId w:val="3"/>
        </w:numPr>
        <w:ind w:hanging="0" w:start="0"/>
        <w:rPr/>
      </w:pPr>
      <w:r>
        <w:rPr>
          <w:u w:val="single"/>
        </w:rPr>
        <w:t>General Nature of the Claim and the Relief or Remedy Sought</w:t>
      </w:r>
    </w:p>
    <w:p>
      <w:pPr>
        <w:pStyle w:val="1LevelPara"/>
        <w:numPr>
          <w:ilvl w:val="0"/>
          <w:numId w:val="18"/>
        </w:numPr>
        <w:ind w:hanging="0" w:start="0" w:end="0"/>
        <w:rPr/>
      </w:pPr>
      <w:r>
        <w:rPr/>
        <w:t xml:space="preserve">The Claimant’s claim is not to be construed or limited by reference to the facts above which are by way of summary only. </w:t>
      </w:r>
    </w:p>
    <w:p>
      <w:pPr>
        <w:pStyle w:val="1LevelPara"/>
        <w:numPr>
          <w:ilvl w:val="0"/>
          <w:numId w:val="18"/>
        </w:numPr>
        <w:ind w:hanging="0" w:start="0" w:end="0"/>
        <w:rPr/>
      </w:pPr>
      <w:r>
        <w:rPr/>
        <w:t xml:space="preserve">The Claimant sets out below the general nature of its claim in respect of the Dispute, indicates the amount involved in the claim and describes the relief or remedy sought by it. The claim and the relief or remedy sought by the Claimant will be particularised in due course in the Statement of Claim herein served in accordance with Article 18 of the UNCITRAL Arbitration Rules. </w:t>
      </w:r>
    </w:p>
    <w:p>
      <w:pPr>
        <w:pStyle w:val="1LevelPara"/>
        <w:numPr>
          <w:ilvl w:val="0"/>
          <w:numId w:val="0"/>
        </w:numPr>
        <w:ind w:hanging="0" w:start="0"/>
        <w:rPr/>
      </w:pPr>
      <w:r>
        <w:rPr/>
        <w:t>(a)</w:t>
        <w:tab/>
      </w:r>
      <w:r>
        <w:rPr>
          <w:u w:val="single"/>
        </w:rPr>
        <w:t>The General Nature of the Claim</w:t>
      </w:r>
      <w:r>
        <w:rPr/>
        <w:t xml:space="preserve"> </w:t>
      </w:r>
    </w:p>
    <w:p>
      <w:pPr>
        <w:pStyle w:val="1LevelPara"/>
        <w:numPr>
          <w:ilvl w:val="0"/>
          <w:numId w:val="18"/>
        </w:numPr>
        <w:ind w:hanging="0" w:start="0" w:end="0"/>
        <w:rPr/>
      </w:pPr>
      <w:r>
        <w:rPr/>
        <w:t>The Claimant reserves the right to refer to the Supplemental GOM Support Agreement for its full terms and effect, and to the same in conjunction with the GOM Support Agreement.  In particular, the Supplemental GOM Support Agreement provides:</w:t>
      </w:r>
    </w:p>
    <w:p>
      <w:pPr>
        <w:pStyle w:val="1LevelPara"/>
        <w:numPr>
          <w:ilvl w:val="0"/>
          <w:numId w:val="18"/>
        </w:numPr>
        <w:ind w:hanging="0" w:start="0" w:end="0"/>
        <w:rPr/>
      </w:pPr>
      <w:r>
        <w:rPr/>
        <w:t>(1)</w:t>
        <w:tab/>
        <w:t>Clause 2.1:</w:t>
      </w:r>
    </w:p>
    <w:p>
      <w:pPr>
        <w:pStyle w:val="Body2"/>
        <w:tabs>
          <w:tab w:val="clear" w:pos="1247"/>
          <w:tab w:val="left" w:pos="1350" w:leader="none"/>
        </w:tabs>
        <w:spacing w:lineRule="auto" w:line="240"/>
        <w:ind w:start="1440" w:end="0"/>
        <w:rPr/>
      </w:pPr>
      <w:r>
        <w:rPr>
          <w:i/>
          <w:sz w:val="22"/>
        </w:rPr>
        <w:t>“</w:t>
      </w:r>
      <w:r>
        <w:rPr>
          <w:rFonts w:cs="Times" w:ascii="Times" w:hAnsi="Times"/>
          <w:i/>
          <w:sz w:val="22"/>
        </w:rPr>
        <w:t>This Agreement shall be effective on the date hereof and shall continue in full force and effect until it is terminated pursuant to the provisions of this Agreement. GOM and DPC acknowledge and agree that the terms and conditions of the State Support Agreement and this Agreement shall, subject to the other provisions hereof, apply with immediate effect to the entire Project as amended by this Agreement and the Modified PPA.”</w:t>
      </w:r>
    </w:p>
    <w:p>
      <w:pPr>
        <w:pStyle w:val="Body1"/>
        <w:ind w:firstLine="153" w:end="0"/>
        <w:rPr>
          <w:rFonts w:ascii="Times" w:hAnsi="Times" w:cs="Times"/>
          <w:sz w:val="22"/>
        </w:rPr>
      </w:pPr>
      <w:r>
        <w:rPr>
          <w:rFonts w:cs="Times" w:ascii="Times" w:hAnsi="Times"/>
          <w:sz w:val="22"/>
        </w:rPr>
        <w:t>(2)</w:t>
        <w:tab/>
        <w:t>Clause 2.2:</w:t>
      </w:r>
    </w:p>
    <w:p>
      <w:pPr>
        <w:pStyle w:val="Body2"/>
        <w:tabs>
          <w:tab w:val="clear" w:pos="1247"/>
          <w:tab w:val="left" w:pos="1350" w:leader="none"/>
        </w:tabs>
        <w:spacing w:lineRule="auto" w:line="240"/>
        <w:ind w:start="1440" w:end="0"/>
        <w:rPr>
          <w:rFonts w:ascii="Times" w:hAnsi="Times" w:cs="Times"/>
          <w:i/>
          <w:i/>
          <w:sz w:val="22"/>
        </w:rPr>
      </w:pPr>
      <w:r>
        <w:rPr>
          <w:rFonts w:cs="Times" w:ascii="Times" w:hAnsi="Times"/>
          <w:i/>
          <w:sz w:val="22"/>
        </w:rPr>
        <w:t>“</w:t>
      </w:r>
      <w:r>
        <w:rPr>
          <w:rFonts w:cs="Times" w:ascii="Times" w:hAnsi="Times"/>
          <w:i/>
          <w:sz w:val="22"/>
        </w:rPr>
        <w:t>GOM hereby affirms it steadfast commitment to the development of the Project and its approval of DPC’s proposals for Phase II. GOM confirms its commitments to assisting DPC in obtaining all the necessary Clearances for the satisfaction of the various conditions precedent to Phase II to be contained in the Modified PPA.”</w:t>
      </w:r>
    </w:p>
    <w:p>
      <w:pPr>
        <w:pStyle w:val="Body1"/>
        <w:keepNext w:val="true"/>
        <w:ind w:firstLine="158" w:start="562" w:end="0"/>
        <w:rPr>
          <w:rFonts w:ascii="Times" w:hAnsi="Times" w:cs="Times"/>
          <w:sz w:val="22"/>
        </w:rPr>
      </w:pPr>
      <w:r>
        <w:rPr>
          <w:rFonts w:cs="Times" w:ascii="Times" w:hAnsi="Times"/>
          <w:sz w:val="22"/>
        </w:rPr>
        <w:t>(3)</w:t>
        <w:tab/>
        <w:t>Clause 2.3:</w:t>
      </w:r>
    </w:p>
    <w:p>
      <w:pPr>
        <w:pStyle w:val="Body2"/>
        <w:tabs>
          <w:tab w:val="clear" w:pos="1247"/>
          <w:tab w:val="left" w:pos="1350" w:leader="none"/>
        </w:tabs>
        <w:ind w:start="1440" w:end="0"/>
        <w:rPr>
          <w:rFonts w:ascii="Times" w:hAnsi="Times" w:cs="Times"/>
          <w:i/>
          <w:i/>
          <w:sz w:val="22"/>
        </w:rPr>
      </w:pPr>
      <w:r>
        <w:rPr>
          <w:rFonts w:cs="Times" w:ascii="Times" w:hAnsi="Times"/>
          <w:i/>
          <w:sz w:val="22"/>
        </w:rPr>
        <w:t>“</w:t>
      </w:r>
      <w:r>
        <w:rPr>
          <w:rFonts w:cs="Times" w:ascii="Times" w:hAnsi="Times"/>
          <w:i/>
          <w:sz w:val="22"/>
        </w:rPr>
        <w:t>GOM acknowledges that, prior to the recommencement of construction activities for Phase I, the changes to the Project referred to herein will require not only amended and additional Clearances, but also renegotiations and execution of revised documentation with Lenders for the reinstatement and reactivation of the credit facilities under the Loan Agreements and the confirmation of the enforceability of the Lender’s security in relation to the Project as so revised. GOM will fully support and cooperate with DPC in all such matters.”</w:t>
      </w:r>
    </w:p>
    <w:p>
      <w:pPr>
        <w:pStyle w:val="1LevelPara"/>
        <w:numPr>
          <w:ilvl w:val="0"/>
          <w:numId w:val="18"/>
        </w:numPr>
        <w:ind w:hanging="0" w:start="0" w:end="0"/>
        <w:rPr/>
      </w:pPr>
      <w:r>
        <w:rPr/>
        <w:t>One overall effect of the Supplemental GOM Support Agreement was to create an express and/or an implied obligation on the part of the Respondent (a) to provide a general level of support to the Claimant in relation to its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The provisions of Clause 2 of the Supplemental GOM Support Agreement also gave rise to individual obligations on the part of the Respondent.</w:t>
      </w:r>
    </w:p>
    <w:p>
      <w:pPr>
        <w:pStyle w:val="1LevelPara"/>
        <w:numPr>
          <w:ilvl w:val="0"/>
          <w:numId w:val="18"/>
        </w:numPr>
        <w:ind w:hanging="0" w:start="0" w:end="0"/>
        <w:rPr/>
      </w:pPr>
      <w:r>
        <w:rPr/>
        <w:t>The Respondent has breached this express and/or implied obligation (a) to provide a general level of support to the Claimant in relation to the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Further, it has breached the specific individual obligations created by the provisions of the Supplemental GOM Support Agreement.</w:t>
      </w:r>
    </w:p>
    <w:p>
      <w:pPr>
        <w:pStyle w:val="1LevelPara"/>
        <w:numPr>
          <w:ilvl w:val="0"/>
          <w:numId w:val="18"/>
        </w:numPr>
        <w:ind w:hanging="0" w:start="0" w:end="0"/>
        <w:rPr/>
      </w:pPr>
      <w:r>
        <w:rPr/>
        <w:t>The Claimant sets out below various instances of the above breaches.  It reserves its rights to add to, to subtract from or to otherwise modify such instances.  The Claimant further reserves its rights to refer to and to rely upon each of the instances set out below, both independently and cumulatively.</w:t>
      </w:r>
    </w:p>
    <w:p>
      <w:pPr>
        <w:pStyle w:val="1LevelPara"/>
        <w:numPr>
          <w:ilvl w:val="0"/>
          <w:numId w:val="18"/>
        </w:numPr>
        <w:ind w:hanging="0" w:start="0"/>
        <w:rPr/>
      </w:pPr>
      <w:r>
        <w:rPr/>
        <w:t>(1)</w:t>
        <w:tab/>
        <w:t>Ministers and officials of the Respondent have made public statements which are inconsistent with the maintenance of support for the development of the Project by the Respondent.  By way of example only, on 27</w:t>
      </w:r>
      <w:r>
        <w:rPr>
          <w:vertAlign w:val="superscript"/>
        </w:rPr>
        <w:t>th</w:t>
      </w:r>
      <w:r>
        <w:rPr/>
        <w:t xml:space="preserve"> March 2001 the Finance Minister of the Respondent made a speech to the Legislative Assembly for the State of Maharashtra, referring to a special committee established by the Respondent to review the PPA and requesting the “Central Government to take over the entire project directly …”.  In the event, the Respondent has established an Energy Review Committee, the terms of reference of which require it to “… review and reconsider the provisions of the PPA…”.  The Energy Review Committee was neither invited nor required by the Respondent to review or to assess the costs or the tariff of any other private sector power station operator in the State of Maharashtra, nor has it in fact done so.</w:t>
      </w:r>
    </w:p>
    <w:p>
      <w:pPr>
        <w:pStyle w:val="Body"/>
        <w:spacing w:lineRule="auto" w:line="360"/>
        <w:ind w:start="720" w:end="0"/>
        <w:rPr>
          <w:rFonts w:ascii="Times" w:hAnsi="Times" w:cs="Times"/>
          <w:sz w:val="22"/>
        </w:rPr>
      </w:pPr>
      <w:r>
        <w:rPr>
          <w:rFonts w:cs="Times" w:ascii="Times" w:hAnsi="Times"/>
          <w:sz w:val="22"/>
        </w:rPr>
        <w:t>(2)</w:t>
        <w:tab/>
        <w:t xml:space="preserve">The Respondent has failed to perform its obligations under the GOM Guarantee: </w:t>
      </w:r>
    </w:p>
    <w:p>
      <w:pPr>
        <w:pStyle w:val="Body"/>
        <w:spacing w:lineRule="auto" w:line="360"/>
        <w:ind w:start="1440" w:end="0"/>
        <w:rPr>
          <w:rFonts w:ascii="Times" w:hAnsi="Times" w:cs="Times"/>
          <w:sz w:val="22"/>
        </w:rPr>
      </w:pPr>
      <w:r>
        <w:rPr>
          <w:rFonts w:cs="Times" w:ascii="Times" w:hAnsi="Times"/>
          <w:sz w:val="22"/>
        </w:rPr>
        <w:t>(a)</w:t>
        <w:tab/>
        <w:t>on four occasions since 1st February 2001 it has failed to satisfy demands made of it by the Claimant under the GOM Guarantee;</w:t>
      </w:r>
    </w:p>
    <w:p>
      <w:pPr>
        <w:pStyle w:val="Body"/>
        <w:spacing w:lineRule="auto" w:line="360"/>
        <w:ind w:start="1440" w:end="0"/>
        <w:rPr/>
      </w:pPr>
      <w:r>
        <w:rPr>
          <w:rFonts w:cs="Times" w:ascii="Times" w:hAnsi="Times"/>
          <w:sz w:val="22"/>
        </w:rPr>
        <w:t>(b)</w:t>
        <w:tab/>
        <w:t>on 5</w:t>
      </w:r>
      <w:r>
        <w:rPr>
          <w:rFonts w:cs="Times" w:ascii="Times" w:hAnsi="Times"/>
          <w:sz w:val="22"/>
          <w:vertAlign w:val="superscript"/>
        </w:rPr>
        <w:t>th</w:t>
      </w:r>
      <w:r>
        <w:rPr>
          <w:rFonts w:cs="Times" w:ascii="Times" w:hAnsi="Times"/>
          <w:sz w:val="22"/>
        </w:rPr>
        <w:t xml:space="preserve"> February 2001, the Finance and Planning Minister of the Respondent stated that such demands had not been honoured by way of a “strategic decision” on the basis that the Respondent wished “to scrap the power purchase agreement”.</w:t>
      </w:r>
    </w:p>
    <w:p>
      <w:pPr>
        <w:pStyle w:val="Body"/>
        <w:spacing w:lineRule="auto" w:line="360"/>
        <w:ind w:start="720" w:end="0"/>
        <w:rPr/>
      </w:pPr>
      <w:r>
        <w:rPr>
          <w:rFonts w:cs="Times" w:ascii="Times" w:hAnsi="Times"/>
          <w:sz w:val="22"/>
        </w:rPr>
        <w:t>(3)</w:t>
        <w:tab/>
        <w:t>The Respondent has acted in such a way as to procure the breach of the GOI Guarantee.  By a letter dated 7</w:t>
      </w:r>
      <w:r>
        <w:rPr>
          <w:rFonts w:cs="Times" w:ascii="Times" w:hAnsi="Times"/>
          <w:sz w:val="22"/>
          <w:vertAlign w:val="superscript"/>
        </w:rPr>
        <w:t>th</w:t>
      </w:r>
      <w:r>
        <w:rPr>
          <w:rFonts w:cs="Times" w:ascii="Times" w:hAnsi="Times"/>
          <w:sz w:val="22"/>
        </w:rPr>
        <w:t xml:space="preserve"> March 2001, the Claimant made demand upon the GOI pursuant to the provisions of the GOI Guarantee.  By a letter dated 31</w:t>
      </w:r>
      <w:r>
        <w:rPr>
          <w:rFonts w:cs="Times" w:ascii="Times" w:hAnsi="Times"/>
          <w:sz w:val="22"/>
          <w:vertAlign w:val="superscript"/>
        </w:rPr>
        <w:t>st</w:t>
      </w:r>
      <w:r>
        <w:rPr>
          <w:rFonts w:cs="Times" w:ascii="Times" w:hAnsi="Times"/>
          <w:sz w:val="22"/>
        </w:rPr>
        <w:t xml:space="preserve"> March 2001 the GOI wrongfully refused to pay under the GOI Guarantee.  In paragraph 5 of that letter the GOI referred to a letter having been received by it from the Respondent dated 15</w:t>
      </w:r>
      <w:r>
        <w:rPr>
          <w:rFonts w:cs="Times" w:ascii="Times" w:hAnsi="Times"/>
          <w:sz w:val="22"/>
          <w:vertAlign w:val="superscript"/>
        </w:rPr>
        <w:t>th</w:t>
      </w:r>
      <w:r>
        <w:rPr>
          <w:rFonts w:cs="Times" w:ascii="Times" w:hAnsi="Times"/>
          <w:sz w:val="22"/>
        </w:rPr>
        <w:t xml:space="preserve"> March 2001 requesting, requiring, encouraging, counselling and (in the event) procuring that the GOI not make any payment to the Claimant.</w:t>
      </w:r>
    </w:p>
    <w:p>
      <w:pPr>
        <w:pStyle w:val="Body"/>
        <w:spacing w:lineRule="auto" w:line="360"/>
        <w:ind w:start="720" w:end="0"/>
        <w:rPr/>
      </w:pPr>
      <w:r>
        <w:rPr>
          <w:rFonts w:cs="Times" w:ascii="Times" w:hAnsi="Times"/>
          <w:sz w:val="22"/>
        </w:rPr>
        <w:t>(4)</w:t>
        <w:tab/>
        <w:t>The Respondent has directed and/or procured breaches of the PPA by the MSEB.  The Respondent controls the board of directors of the MSEB.  In addition, it controls the finances of the MSEB.  As a practical matter, it is able to exert, and does in fact exert, a high degree of control over the management of the MSEB and the conduct of the MSEB’s day-to-day business. For a number of months the MSEB has persistently failed to pay to the Claimant all such sums as having become due to it under the PPA punctually or (in certain cases) at all.  Further, since 28</w:t>
      </w:r>
      <w:r>
        <w:rPr>
          <w:rFonts w:cs="Times" w:ascii="Times" w:hAnsi="Times"/>
          <w:sz w:val="22"/>
          <w:vertAlign w:val="superscript"/>
        </w:rPr>
        <w:t>th</w:t>
      </w:r>
      <w:r>
        <w:rPr>
          <w:rFonts w:cs="Times" w:ascii="Times" w:hAnsi="Times"/>
          <w:sz w:val="22"/>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w:t>
      </w:r>
    </w:p>
    <w:p>
      <w:pPr>
        <w:pStyle w:val="Body"/>
        <w:spacing w:lineRule="auto" w:line="360"/>
        <w:ind w:start="720" w:end="0"/>
        <w:rPr/>
      </w:pPr>
      <w:r>
        <w:rPr>
          <w:rFonts w:cs="Times" w:ascii="Times" w:hAnsi="Times"/>
          <w:sz w:val="22"/>
        </w:rPr>
        <w:t>(5)</w:t>
        <w:tab/>
        <w:t>The Respondent has delayed or refused or participated in the refusal of Clearances.  In particular, the Claimant is required to hold a consent to operate the Power Station issued by the MPCB.  The MPCB has failed (without good reason) to renew the Claimant’s consent to operate the Power Station for a further period as requested by the Claimant on 22</w:t>
      </w:r>
      <w:r>
        <w:rPr>
          <w:rFonts w:cs="Times" w:ascii="Times" w:hAnsi="Times"/>
          <w:sz w:val="22"/>
          <w:vertAlign w:val="superscript"/>
        </w:rPr>
        <w:t>nd</w:t>
      </w:r>
      <w:r>
        <w:rPr>
          <w:rFonts w:cs="Times" w:ascii="Times" w:hAnsi="Times"/>
          <w:sz w:val="22"/>
        </w:rPr>
        <w:t xml:space="preserve"> January 2001.  Despite requests from the Claimant for assistance in connection with the renewal of the Clearances, the Respondent has rendered no such assistance.  The Claimant’s case will be that the Respondent has given directions to and/or has counselled and procured the MPCB to delay or withhold the Clearances to which the Claimant is entitled and/or to impose requirements which the MPCB was not entitled to impose.</w:t>
      </w:r>
    </w:p>
    <w:p>
      <w:pPr>
        <w:pStyle w:val="Recitals"/>
        <w:numPr>
          <w:ilvl w:val="0"/>
          <w:numId w:val="0"/>
        </w:numPr>
        <w:ind w:firstLine="720" w:start="-720" w:end="0"/>
        <w:rPr>
          <w:b w:val="false"/>
        </w:rPr>
      </w:pPr>
      <w:r>
        <w:rPr>
          <w:b w:val="false"/>
        </w:rPr>
        <w:t>(b)</w:t>
        <w:tab/>
      </w:r>
      <w:r>
        <w:rPr>
          <w:b w:val="false"/>
          <w:u w:val="single"/>
        </w:rPr>
        <w:t>Amount of the Claim and the Relief or Remedy Sought</w:t>
      </w:r>
    </w:p>
    <w:p>
      <w:pPr>
        <w:pStyle w:val="1LevelPara"/>
        <w:numPr>
          <w:ilvl w:val="0"/>
          <w:numId w:val="18"/>
        </w:numPr>
        <w:ind w:hanging="0" w:start="0" w:end="0"/>
        <w:rPr/>
      </w:pPr>
      <w:r>
        <w:rPr/>
        <w:t>The amount of the Claimant’s claim for damages is a sum in excess of U.S.$50,000,000.</w:t>
      </w:r>
    </w:p>
    <w:p>
      <w:pPr>
        <w:pStyle w:val="1LevelPara"/>
        <w:numPr>
          <w:ilvl w:val="0"/>
          <w:numId w:val="18"/>
        </w:numPr>
        <w:ind w:hanging="0" w:start="0" w:end="0"/>
        <w:rPr/>
      </w:pPr>
      <w:r>
        <w:rPr/>
        <w:t>The Claimant seeks the following relief:</w:t>
      </w:r>
    </w:p>
    <w:p>
      <w:pPr>
        <w:pStyle w:val="Body"/>
        <w:ind w:start="720" w:end="0"/>
        <w:rPr>
          <w:rFonts w:ascii="Times" w:hAnsi="Times" w:cs="Times"/>
          <w:sz w:val="22"/>
        </w:rPr>
      </w:pPr>
      <w:r>
        <w:rPr>
          <w:rFonts w:cs="Times" w:ascii="Times" w:hAnsi="Times"/>
          <w:sz w:val="22"/>
        </w:rPr>
        <w:t>(1)</w:t>
        <w:tab/>
        <w:t>The Claimant claims declarations as follows:</w:t>
      </w:r>
    </w:p>
    <w:p>
      <w:pPr>
        <w:pStyle w:val="Body"/>
        <w:spacing w:lineRule="auto" w:line="360"/>
        <w:ind w:hanging="720" w:start="1440" w:end="0"/>
        <w:rPr>
          <w:rFonts w:ascii="Times" w:hAnsi="Times" w:cs="Times"/>
          <w:sz w:val="22"/>
        </w:rPr>
      </w:pPr>
      <w:r>
        <w:rPr>
          <w:rFonts w:cs="Times" w:ascii="Times" w:hAnsi="Times"/>
          <w:sz w:val="22"/>
        </w:rPr>
        <w:tab/>
        <w:t>(a)</w:t>
        <w:tab/>
        <w:t>that the Supplemental GOM Support Agreement is valid in accordance with its terms and conditions and that the Respondent is unconditionally and irrevocably bound by the obligations which it has assumed thereunder;</w:t>
      </w:r>
    </w:p>
    <w:p>
      <w:pPr>
        <w:pStyle w:val="Body"/>
        <w:spacing w:lineRule="auto" w:line="360"/>
        <w:ind w:hanging="720" w:start="1440" w:end="0"/>
        <w:rPr>
          <w:rFonts w:ascii="Times" w:hAnsi="Times" w:cs="Times"/>
          <w:sz w:val="22"/>
        </w:rPr>
      </w:pPr>
      <w:r>
        <w:rPr>
          <w:rFonts w:cs="Times" w:ascii="Times" w:hAnsi="Times"/>
          <w:sz w:val="22"/>
        </w:rPr>
        <w:tab/>
        <w:t>(b)</w:t>
        <w:tab/>
        <w:t>as to the respective rights and obligations of the parties under the Supplemental GOM Support Agreement; and/or</w:t>
      </w:r>
    </w:p>
    <w:p>
      <w:pPr>
        <w:pStyle w:val="Body"/>
        <w:spacing w:lineRule="auto" w:line="360"/>
        <w:ind w:hanging="720" w:start="1440" w:end="0"/>
        <w:rPr>
          <w:rFonts w:ascii="Times" w:hAnsi="Times" w:cs="Times"/>
          <w:sz w:val="22"/>
        </w:rPr>
      </w:pPr>
      <w:r>
        <w:rPr>
          <w:rFonts w:cs="Times" w:ascii="Times" w:hAnsi="Times"/>
          <w:sz w:val="22"/>
        </w:rPr>
        <w:tab/>
        <w:t>(c)</w:t>
        <w:tab/>
        <w:t>that the Respondent is in default of its obligations under the Supplemental GOM Support Agreement.</w:t>
      </w:r>
    </w:p>
    <w:p>
      <w:pPr>
        <w:pStyle w:val="Body"/>
        <w:spacing w:lineRule="auto" w:line="360"/>
        <w:ind w:hanging="720" w:start="1440" w:end="0"/>
        <w:rPr>
          <w:rFonts w:ascii="Times" w:hAnsi="Times" w:cs="Times"/>
          <w:sz w:val="22"/>
        </w:rPr>
      </w:pPr>
      <w:r>
        <w:rPr>
          <w:rFonts w:cs="Times" w:ascii="Times" w:hAnsi="Times"/>
          <w:sz w:val="22"/>
        </w:rPr>
        <w:t>(2)</w:t>
        <w:tab/>
        <w:t>The Claimant claims the specific performance by the Respondent of each and every of the obligations imposed upon it under the Supplemental GOM Support Agreement and an order that the Respondent forthwith performs in full, punctually and strictly in accordance with its terms and conditions, all such obligations.</w:t>
      </w:r>
    </w:p>
    <w:p>
      <w:pPr>
        <w:pStyle w:val="Body"/>
        <w:spacing w:lineRule="auto" w:line="360"/>
        <w:ind w:hanging="720" w:start="1440" w:end="0"/>
        <w:rPr>
          <w:rFonts w:ascii="Times" w:hAnsi="Times" w:cs="Times"/>
          <w:sz w:val="22"/>
        </w:rPr>
      </w:pPr>
      <w:r>
        <w:rPr>
          <w:rFonts w:cs="Times" w:ascii="Times" w:hAnsi="Times"/>
          <w:sz w:val="22"/>
        </w:rPr>
        <w:t>(3)</w:t>
        <w:tab/>
        <w:t>The Claimant claims damages for the losses sustained by it by reason of the breaches of the Supplemental GOM Support Agreement.</w:t>
      </w:r>
    </w:p>
    <w:p>
      <w:pPr>
        <w:pStyle w:val="Body"/>
        <w:ind w:hanging="720" w:start="1440" w:end="0"/>
        <w:rPr>
          <w:rFonts w:ascii="Times" w:hAnsi="Times" w:cs="Times"/>
          <w:sz w:val="22"/>
        </w:rPr>
      </w:pPr>
      <w:r>
        <w:rPr>
          <w:rFonts w:cs="Times" w:ascii="Times" w:hAnsi="Times"/>
          <w:sz w:val="22"/>
        </w:rPr>
        <w:t>(4)</w:t>
        <w:tab/>
        <w:t>Further and other relief.</w:t>
      </w:r>
    </w:p>
    <w:p>
      <w:pPr>
        <w:pStyle w:val="Body"/>
        <w:ind w:hanging="720" w:start="1440" w:end="0"/>
        <w:rPr>
          <w:rFonts w:ascii="Times" w:hAnsi="Times" w:cs="Times"/>
          <w:sz w:val="22"/>
        </w:rPr>
      </w:pPr>
      <w:r>
        <w:rPr>
          <w:rFonts w:cs="Times" w:ascii="Times" w:hAnsi="Times"/>
          <w:sz w:val="22"/>
        </w:rPr>
        <w:t>(5)</w:t>
        <w:tab/>
        <w:t>Costs.</w:t>
      </w:r>
    </w:p>
    <w:p>
      <w:pPr>
        <w:pStyle w:val="1LevelPara"/>
        <w:numPr>
          <w:ilvl w:val="0"/>
          <w:numId w:val="18"/>
        </w:numPr>
        <w:ind w:hanging="0" w:start="0" w:end="0"/>
        <w:rPr/>
      </w:pPr>
      <w:r>
        <w:rPr/>
        <w:t>The Claimant reserves its rights to add to, subtract from or modify otherwise the relief sought.</w:t>
      </w:r>
    </w:p>
    <w:p>
      <w:pPr>
        <w:pStyle w:val="Recitals"/>
        <w:numPr>
          <w:ilvl w:val="0"/>
          <w:numId w:val="3"/>
        </w:numPr>
        <w:ind w:hanging="0" w:start="0"/>
        <w:rPr/>
      </w:pPr>
      <w:r>
        <w:rPr>
          <w:u w:val="single"/>
        </w:rPr>
        <w:t>Number of and Nationality of the Arbitrators</w:t>
      </w:r>
    </w:p>
    <w:p>
      <w:pPr>
        <w:pStyle w:val="1LevelPara"/>
        <w:numPr>
          <w:ilvl w:val="0"/>
          <w:numId w:val="18"/>
        </w:numPr>
        <w:ind w:hanging="0" w:start="0"/>
        <w:rPr/>
      </w:pPr>
      <w:r>
        <w:rPr/>
        <w:t>(1)</w:t>
        <w:tab/>
        <w:t>The parties have previously agreed, pursuant to Clauses 11.1 to 11.3 of the GOM Support Agreement, that the number of arbitrators shall be three.</w:t>
      </w:r>
    </w:p>
    <w:p>
      <w:pPr>
        <w:pStyle w:val="1LevelPara"/>
        <w:numPr>
          <w:ilvl w:val="0"/>
          <w:numId w:val="0"/>
        </w:numPr>
        <w:ind w:hanging="0" w:start="720" w:end="0"/>
        <w:rPr/>
      </w:pPr>
      <w:r>
        <w:rPr/>
        <w:t>(2)</w:t>
        <w:tab/>
        <w:t>The parties have further previously agreed, pursuant to the provisions of Clause 11.2 of the GOM Support Agreement, that no arbitrator shall be a national of India or of the United States of America.</w:t>
      </w:r>
    </w:p>
    <w:p>
      <w:pPr>
        <w:pStyle w:val="Recitals"/>
        <w:numPr>
          <w:ilvl w:val="0"/>
          <w:numId w:val="3"/>
        </w:numPr>
        <w:ind w:hanging="0" w:start="0"/>
        <w:rPr/>
      </w:pPr>
      <w:r>
        <w:rPr>
          <w:u w:val="single"/>
        </w:rPr>
        <w:t>Appointment of Arbitrator by the Claimant</w:t>
      </w:r>
    </w:p>
    <w:p>
      <w:pPr>
        <w:pStyle w:val="1LevelPara"/>
        <w:numPr>
          <w:ilvl w:val="0"/>
          <w:numId w:val="18"/>
        </w:numPr>
        <w:ind w:hanging="0" w:start="0" w:end="0"/>
        <w:rPr/>
      </w:pPr>
      <w:r>
        <w:rPr/>
        <w:t>The Claimant notifies the Respondent that the Claimant has appointed the person named below as an arbitrator in accordance with Article 7 of the UNCITRAL Arbitration Rules:</w:t>
      </w:r>
    </w:p>
    <w:p>
      <w:pPr>
        <w:pStyle w:val="1LevelPara"/>
        <w:numPr>
          <w:ilvl w:val="0"/>
          <w:numId w:val="0"/>
        </w:numPr>
        <w:ind w:hanging="0" w:start="720" w:end="0"/>
        <w:rPr/>
      </w:pPr>
      <w:r>
        <w:rPr/>
        <w:t>The Honourable Andrew John Rogers Q.C. (formerly Chief Judge of the Commercial Division of the Supreme Court of New South Wales) of Level 7, 233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Appoint an Arbitrator</w:t>
      </w:r>
    </w:p>
    <w:p>
      <w:pPr>
        <w:pStyle w:val="1LevelPara"/>
        <w:numPr>
          <w:ilvl w:val="0"/>
          <w:numId w:val="18"/>
        </w:numPr>
        <w:ind w:hanging="0" w:start="0" w:end="0"/>
        <w:rPr/>
      </w:pPr>
      <w:r>
        <w:rPr/>
        <w:t xml:space="preserve">The Claimant calls upon the Respondent to appoint an arbitrator within a period of thirty days. The Claimant calls to the attention of the Respondent the provisions of Article 7 of the UNCITRAL Arbitration Rules with respect to the appointment by the Respondent of an </w:t>
        <w:br/>
        <w:t xml:space="preserve">arbitrator and to the procedures available to the Claimant in the event that the Respondent has not within thirty days after the receipt of this Notice of Arbitration appointed an arbitrator. </w:t>
      </w:r>
    </w:p>
    <w:p>
      <w:pPr>
        <w:pStyle w:val="1LevelPara"/>
        <w:numPr>
          <w:ilvl w:val="0"/>
          <w:numId w:val="0"/>
        </w:numPr>
        <w:spacing w:lineRule="auto" w:line="240" w:before="0" w:after="0"/>
        <w:ind w:hanging="0" w:start="0"/>
        <w:rPr/>
      </w:pPr>
      <w:r>
        <w:rPr/>
      </w:r>
    </w:p>
    <w:p>
      <w:pPr>
        <w:pStyle w:val="1LevelPara"/>
        <w:numPr>
          <w:ilvl w:val="0"/>
          <w:numId w:val="0"/>
        </w:numPr>
        <w:spacing w:lineRule="auto" w:line="240" w:before="0" w:after="0"/>
        <w:ind w:hanging="0" w:start="0"/>
        <w:rPr/>
      </w:pPr>
      <w:r>
        <w:rPr/>
      </w:r>
    </w:p>
    <w:p>
      <w:pPr>
        <w:pStyle w:val="1LevelPara"/>
        <w:numPr>
          <w:ilvl w:val="0"/>
          <w:numId w:val="0"/>
        </w:numPr>
        <w:ind w:hanging="0" w:start="0"/>
        <w:rPr>
          <w:b/>
        </w:rPr>
      </w:pPr>
      <w:r>
        <w:rPr>
          <w:b/>
        </w:rPr>
        <w:t>For and on behalf of the Dabhol Power Company:</w:t>
      </w:r>
    </w:p>
    <w:p>
      <w:pPr>
        <w:pStyle w:val="1LevelPara"/>
        <w:numPr>
          <w:ilvl w:val="0"/>
          <w:numId w:val="0"/>
        </w:numPr>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t>10</w:t>
      </w:r>
      <w:r>
        <w:rPr>
          <w:vertAlign w:val="superscript"/>
        </w:rPr>
        <w:t>th</w:t>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10</w:t>
      </w:r>
      <w:r>
        <w:rPr>
          <w:vertAlign w:val="superscript"/>
        </w:rPr>
        <w:t>th</w:t>
      </w:r>
      <w:r>
        <w:rPr/>
        <w:t xml:space="preserve"> day of April 2001 by Messrs Linklaters of Alexandra House (10</w:t>
      </w:r>
      <w:r>
        <w:rPr>
          <w:vertAlign w:val="superscript"/>
        </w:rPr>
        <w:t>th</w:t>
      </w:r>
      <w:r>
        <w:rPr/>
        <w:t xml:space="preserve"> floor), 16-20 Chater Road, Central, Hong Kong, Solicitors for the Claimant.</w:t>
      </w:r>
      <w:r>
        <w:br w:type="page"/>
      </w:r>
    </w:p>
    <w:p>
      <w:pPr>
        <w:pStyle w:val="Heading1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11.</w:t>
        <w:tab/>
        <w:t>Arbitration</w:t>
      </w:r>
    </w:p>
    <w:p>
      <w:pPr>
        <w:pStyle w:val="1LevelPara"/>
        <w:numPr>
          <w:ilvl w:val="0"/>
          <w:numId w:val="0"/>
        </w:numPr>
        <w:spacing w:lineRule="auto" w:line="240"/>
        <w:ind w:hanging="0" w:start="0"/>
        <w:rPr>
          <w:i/>
          <w:i/>
        </w:rPr>
      </w:pPr>
      <w:r>
        <w:rPr>
          <w:i/>
        </w:rPr>
        <w:t>11.1</w:t>
        <w:tab/>
        <w:t>Reference to arbitration</w:t>
      </w:r>
    </w:p>
    <w:p>
      <w:pPr>
        <w:pStyle w:val="1LevelPara"/>
        <w:numPr>
          <w:ilvl w:val="0"/>
          <w:numId w:val="0"/>
        </w:numPr>
        <w:spacing w:lineRule="auto" w:line="240"/>
        <w:ind w:hanging="0" w:start="0"/>
        <w:rPr>
          <w:i/>
          <w:i/>
        </w:rPr>
      </w:pPr>
      <w:r>
        <w:rPr>
          <w:i/>
        </w:rPr>
        <w:t>(a)</w:t>
        <w:tab/>
        <w:t>Any dispute or differences (each a “dispute”) arising out of or in connection with this Agreement shall (regardless of the nature of the dispute) be referred to arbitration in accordance with the provisions of the UNCITRAL Arbitration Rules (i.e. the Arbitration Rules of the United Nations Commission on International Trade Law set out in Resolution 31/98 adopted by the General Assembly on 15 December 1976 and referred to herein as “the Rules” as at present in force by a panel of three arbitrators (or such lesser number as the parties may agree) appointed in accordance with the Rules.</w:t>
      </w:r>
    </w:p>
    <w:p>
      <w:pPr>
        <w:pStyle w:val="1LevelPara"/>
        <w:numPr>
          <w:ilvl w:val="0"/>
          <w:numId w:val="0"/>
        </w:numPr>
        <w:spacing w:lineRule="auto" w:line="240"/>
        <w:ind w:hanging="0" w:start="0"/>
        <w:rPr>
          <w:i/>
          <w:i/>
        </w:rPr>
      </w:pPr>
      <w:r>
        <w:rPr>
          <w:i/>
        </w:rPr>
        <w:t>(b)</w:t>
        <w:tab/>
        <w:t>Where the Rules do not deal with any issue arising in connection with the conduct and or procedure of the arbitration such issue shall be resolved in accordance with the law of the place in which the arbitrator is held.</w:t>
      </w:r>
    </w:p>
    <w:p>
      <w:pPr>
        <w:pStyle w:val="1LevelPara"/>
        <w:numPr>
          <w:ilvl w:val="0"/>
          <w:numId w:val="0"/>
        </w:numPr>
        <w:spacing w:lineRule="auto" w:line="240"/>
        <w:ind w:hanging="0" w:start="0"/>
        <w:rPr>
          <w:i/>
          <w:i/>
        </w:rPr>
      </w:pPr>
      <w:r>
        <w:rPr>
          <w:i/>
        </w:rPr>
        <w:t>(c)</w:t>
        <w:tab/>
        <w:t>The New York Convention on the Recognition and Enforcement of Foreign Arbitral Awards (“the Convention”) shall apply to any award resulting from an arbitration pursuant to this Clause and any such award shall for the purposes of the Convention, the laws of India and the laws of any other country in which the recognition and/or enforcement of the award may be sought, be treated as relating to a dispute or disputes arising out of a commercial legal relationship and not as domestic award.</w:t>
      </w:r>
    </w:p>
    <w:p>
      <w:pPr>
        <w:pStyle w:val="1LevelPara"/>
        <w:numPr>
          <w:ilvl w:val="0"/>
          <w:numId w:val="0"/>
        </w:numPr>
        <w:spacing w:lineRule="auto" w:line="240"/>
        <w:ind w:hanging="0" w:start="0"/>
        <w:rPr>
          <w:i/>
          <w:i/>
        </w:rPr>
      </w:pPr>
      <w:r>
        <w:rPr>
          <w:i/>
        </w:rPr>
        <w:t>(d)</w:t>
        <w:tab/>
        <w:t>Any dispute arising after the date on which no amount is owed or capable of being owed to the lenders under the relevant Financing Agreements shall be finally settled by arbitration under the Arbitration Acts of India.</w:t>
      </w:r>
    </w:p>
    <w:p>
      <w:pPr>
        <w:pStyle w:val="1LevelPara"/>
        <w:numPr>
          <w:ilvl w:val="0"/>
          <w:numId w:val="0"/>
        </w:numPr>
        <w:spacing w:lineRule="auto" w:line="240"/>
        <w:ind w:hanging="0" w:start="0"/>
        <w:rPr>
          <w:i/>
          <w:i/>
        </w:rPr>
      </w:pPr>
      <w:r>
        <w:rPr>
          <w:i/>
        </w:rPr>
        <w:t>(e)</w:t>
        <w:tab/>
        <w:t>Arbitration proceedings pursuant to paragraph (a) shall be held in London Arbitration proceedings conducted pursuant to paragraph (d) shall be held in New Delhi, India.</w:t>
      </w:r>
    </w:p>
    <w:p>
      <w:pPr>
        <w:pStyle w:val="1LevelPara"/>
        <w:numPr>
          <w:ilvl w:val="0"/>
          <w:numId w:val="0"/>
        </w:numPr>
        <w:spacing w:lineRule="auto" w:line="240"/>
        <w:ind w:hanging="0" w:start="0"/>
        <w:rPr>
          <w:i/>
          <w:i/>
        </w:rPr>
      </w:pPr>
      <w:r>
        <w:rPr>
          <w:i/>
        </w:rPr>
        <w:t>11.2</w:t>
        <w:tab/>
        <w:t>Nationality of arbitrator</w:t>
      </w:r>
    </w:p>
    <w:p>
      <w:pPr>
        <w:pStyle w:val="1LevelPara"/>
        <w:numPr>
          <w:ilvl w:val="0"/>
          <w:numId w:val="0"/>
        </w:numPr>
        <w:spacing w:lineRule="auto" w:line="240"/>
        <w:ind w:hanging="0" w:start="0"/>
        <w:rPr>
          <w:i/>
          <w:i/>
        </w:rPr>
      </w:pPr>
      <w:r>
        <w:rPr>
          <w:i/>
        </w:rPr>
        <w:tab/>
        <w:t>No arbitrator appointed pursuant to Clause 11.1 shall be a national of India or of the United States.</w:t>
      </w:r>
    </w:p>
    <w:p>
      <w:pPr>
        <w:pStyle w:val="1LevelPara"/>
        <w:numPr>
          <w:ilvl w:val="0"/>
          <w:numId w:val="0"/>
        </w:numPr>
        <w:spacing w:lineRule="auto" w:line="240"/>
        <w:ind w:hanging="0" w:start="0"/>
        <w:rPr>
          <w:i/>
          <w:i/>
        </w:rPr>
      </w:pPr>
      <w:r>
        <w:rPr>
          <w:i/>
        </w:rPr>
        <w:t>11.3</w:t>
        <w:tab/>
        <w:t>Language</w:t>
      </w:r>
    </w:p>
    <w:p>
      <w:pPr>
        <w:sectPr>
          <w:headerReference w:type="default" r:id="rId2"/>
          <w:footerReference w:type="default" r:id="rId3"/>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480"/>
        <w:ind w:hanging="0" w:start="0"/>
        <w:rPr/>
      </w:pPr>
      <w:r>
        <w:rPr>
          <w:i/>
        </w:rPr>
        <w:tab/>
        <w:t>The language of any arbitration under this  Clause shall be English.”</w:t>
      </w:r>
      <w:r>
        <w:rPr/>
        <w:t xml:space="preserve"> </w:t>
      </w:r>
      <w:r>
        <w:br w:type="page"/>
      </w:r>
    </w:p>
    <w:p>
      <w:pPr>
        <w:pStyle w:val="Heading10"/>
        <w:jc w:val="center"/>
        <w:rPr>
          <w:u w:val="single"/>
        </w:rPr>
      </w:pPr>
      <w:r>
        <w:rPr>
          <w:u w:val="single"/>
        </w:rPr>
        <w:t>Schedule</w:t>
      </w:r>
    </w:p>
    <w:p>
      <w:pPr>
        <w:pStyle w:val="Heading10"/>
        <w:jc w:val="center"/>
        <w:rPr>
          <w:u w:val="single"/>
        </w:rPr>
      </w:pPr>
      <w:r>
        <w:rPr>
          <w:u w:val="single"/>
        </w:rPr>
      </w:r>
    </w:p>
    <w:tbl>
      <w:tblPr>
        <w:tblW w:w="8520" w:type="dxa"/>
        <w:jc w:val="start"/>
        <w:tblInd w:w="0" w:type="dxa"/>
        <w:tblLayout w:type="fixed"/>
        <w:tblCellMar>
          <w:top w:w="0" w:type="dxa"/>
          <w:start w:w="108" w:type="dxa"/>
          <w:bottom w:w="0" w:type="dxa"/>
          <w:end w:w="108" w:type="dxa"/>
        </w:tblCellMar>
      </w:tblPr>
      <w:tblGrid>
        <w:gridCol w:w="1188"/>
        <w:gridCol w:w="2520"/>
        <w:gridCol w:w="4812"/>
      </w:tblGrid>
      <w:tr>
        <w:trPr>
          <w:tblHeader w:val="true"/>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Date</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Publication</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Article Headline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17.11.00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review Dabhol power project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MSEB to review viability of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cannot solve State’s power problem but can create other problems”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Mid-day</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may scrap Enron’s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Pressure grows on state to scrap Dabhol II, junk PPA”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renegotiate Enron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to renegotiate power rates with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will ask Enron to lower power tariff”</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Expert moots ways to get out of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reviewing Enron deal”</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14.12.00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should oust Enron: Minister”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Asian Age</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to review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Threat to scrap Enron project real, says CM”</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9.1.01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Retd judge may head review panel on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make DPC wait it out for dues payment”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3.2.01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Times of India</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MSEB not in a position to buy power from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rejects move”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 xml:space="preserve">Central intervention in DPC issue must: Patil”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DPC invokes counter-guarantee for recovering dues from MSEB”</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Deshmukh throws his hands up”</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MPCB to probe DPC’s “violation” of norms”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State directs MPCB to probe into pollution complaint”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Prope DPC emission norms violation”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13.3.01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Sakal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gives indications of action against Enron for causing pollution”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Centre asked not to give counter guarantee to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Save State from Enron, Vilasrao prays Centre”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9.4.01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Centre not to pay DPC’s December bills”</w:t>
            </w:r>
          </w:p>
        </w:tc>
      </w:tr>
    </w:tbl>
    <w:p>
      <w:pPr>
        <w:sectPr>
          <w:headerReference w:type="default" r:id="rId4"/>
          <w:headerReference w:type="first" r:id="rId5"/>
          <w:footerReference w:type="default" r:id="rId6"/>
          <w:footerReference w:type="first" r:id="rId7"/>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240" w:before="0" w:after="240"/>
        <w:ind w:hanging="720" w:start="720" w:end="0"/>
        <w:rPr/>
      </w:pPr>
      <w:r>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Claimant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STATE OF MAHARASHTRA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Claimant</w:t>
      </w:r>
    </w:p>
    <w:sectPr>
      <w:headerReference w:type="default" r:id="rId8"/>
      <w:headerReference w:type="first" r:id="rId9"/>
      <w:footerReference w:type="default" r:id="rId10"/>
      <w:footerReference w:type="first" r:id="rId11"/>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17</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19</w:t>
    </w:r>
    <w:r>
      <w:rPr>
        <w:rStyle w:val="PageNumber"/>
        <w:sz w:val="22"/>
        <w:rFonts w:cs="Times" w:ascii="Times" w:hAnsi="Times"/>
      </w:rPr>
      <w:fldChar w:fldCharType="end"/>
    </w:r>
    <w:r>
      <w:rPr>
        <w:rStyle w:val="PageNumber"/>
        <w:rFonts w:cs="Times" w:ascii="Times" w:hAnsi="Times"/>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31"/>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1"/>
    </w:rPr>
  </w:style>
  <w:style w:type="character" w:styleId="WW8Num9z1">
    <w:name w:val="WW8Num9z1"/>
    <w:qFormat/>
    <w:rPr>
      <w:rFonts w:ascii="Arial" w:hAnsi="Arial" w:cs="Arial"/>
      <w:b/>
      <w:i w:val="false"/>
      <w:sz w:val="20"/>
    </w:rPr>
  </w:style>
  <w:style w:type="character" w:styleId="WW8Num9z2">
    <w:name w:val="WW8Num9z2"/>
    <w:qFormat/>
    <w:rPr>
      <w:b/>
      <w:i w:val="false"/>
      <w:sz w:val="17"/>
    </w:rPr>
  </w:style>
  <w:style w:type="character" w:styleId="WW8Num10z0">
    <w:name w:val="WW8Num10z0"/>
    <w:qFormat/>
    <w:rPr>
      <w:rFonts w:ascii="Times" w:hAnsi="Times" w:cs="Times"/>
      <w:b/>
      <w:i w:val="false"/>
      <w:sz w:val="22"/>
    </w:rPr>
  </w:style>
  <w:style w:type="character" w:styleId="WW8Num11z0">
    <w:name w:val="WW8Num11z0"/>
    <w:qFormat/>
    <w:rPr>
      <w:rFonts w:ascii="Arial" w:hAnsi="Arial" w:cs="Arial"/>
      <w:b/>
      <w:i w:val="false"/>
      <w:sz w:val="20"/>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Arial" w:hAnsi="Arial" w:cs="Aria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i w:val="false"/>
    </w:rPr>
  </w:style>
  <w:style w:type="character" w:styleId="WW8Num17z0">
    <w:name w:val="WW8Num17z0"/>
    <w:qFormat/>
    <w:rPr>
      <w:rFonts w:ascii="Symbol" w:hAnsi="Symbol" w:cs="Symbol"/>
    </w:rPr>
  </w:style>
  <w:style w:type="character" w:styleId="WW8Num18z0">
    <w:name w:val="WW8Num18z0"/>
    <w:qFormat/>
    <w:rPr>
      <w:b/>
      <w:i w:val="false"/>
      <w:sz w:val="20"/>
    </w:rPr>
  </w:style>
  <w:style w:type="character" w:styleId="WW8Num19z0">
    <w:name w:val="WW8Num19z0"/>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2z0">
    <w:name w:val="WW8Num32z0"/>
    <w:qFormat/>
    <w:rPr>
      <w:rFonts w:ascii="Arial" w:hAnsi="Arial" w:cs="Arial"/>
      <w:b/>
      <w:i w:val="false"/>
      <w:sz w:val="22"/>
    </w:rPr>
  </w:style>
  <w:style w:type="character" w:styleId="WW8Num32z1">
    <w:name w:val="WW8Num32z1"/>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val="false"/>
      <w:i w:val="false"/>
      <w:sz w:val="20"/>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i w:val="false"/>
      <w:sz w:val="20"/>
    </w:rPr>
  </w:style>
  <w:style w:type="character" w:styleId="WW8Num38z1">
    <w:name w:val="WW8Num38z1"/>
    <w:qFormat/>
    <w:rPr>
      <w:rFonts w:ascii="Arial" w:hAnsi="Arial" w:cs="Arial"/>
      <w:b/>
      <w:i w:val="false"/>
      <w:sz w:val="19"/>
    </w:rPr>
  </w:style>
  <w:style w:type="character" w:styleId="WW8Num38z2">
    <w:name w:val="WW8Num38z2"/>
    <w:qFormat/>
    <w:rPr>
      <w:rFonts w:ascii="Arial" w:hAnsi="Arial" w:cs="Arial"/>
      <w:b w:val="false"/>
      <w:i w:val="false"/>
      <w:sz w:val="17"/>
    </w:rPr>
  </w:style>
  <w:style w:type="character" w:styleId="WW8Num39z0">
    <w:name w:val="WW8Num39z0"/>
    <w:qFormat/>
    <w:rPr>
      <w:rFonts w:ascii="Arial" w:hAnsi="Arial" w:cs="Arial"/>
      <w:b w:val="false"/>
      <w:i w:val="false"/>
      <w:sz w:val="20"/>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Symbol" w:hAnsi="Symbol" w:cs="Symbol"/>
    </w:rPr>
  </w:style>
  <w:style w:type="character" w:styleId="WW8Num49z0">
    <w:name w:val="WW8Num49z0"/>
    <w:qFormat/>
    <w:rPr>
      <w:rFonts w:ascii="Arial" w:hAnsi="Arial" w:cs="Arial"/>
      <w:b/>
      <w:i w:val="false"/>
      <w:sz w:val="22"/>
    </w:rPr>
  </w:style>
  <w:style w:type="character" w:styleId="WW8Num49z1">
    <w:name w:val="WW8Num49z1"/>
    <w:qFormat/>
    <w:rPr>
      <w:rFonts w:ascii="Arial" w:hAnsi="Arial" w:cs="Arial"/>
      <w:b/>
      <w:i w:val="false"/>
      <w:sz w:val="21"/>
    </w:rPr>
  </w:style>
  <w:style w:type="character" w:styleId="WW8Num49z2">
    <w:name w:val="WW8Num49z2"/>
    <w:qFormat/>
    <w:rPr>
      <w:rFonts w:ascii="Arial" w:hAnsi="Arial" w:cs="Arial"/>
      <w:b/>
      <w:i w:val="false"/>
      <w:sz w:val="17"/>
    </w:rPr>
  </w:style>
  <w:style w:type="character" w:styleId="WW8Num49z3">
    <w:name w:val="WW8Num49z3"/>
    <w:qFormat/>
    <w:rPr>
      <w:rFonts w:ascii="Arial" w:hAnsi="Arial" w:cs="Arial"/>
      <w:b w:val="false"/>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b/>
      <w:i w:val="false"/>
    </w:rPr>
  </w:style>
  <w:style w:type="character" w:styleId="WW8Num53z0">
    <w:name w:val="WW8Num53z0"/>
    <w:qFormat/>
    <w:rPr>
      <w:rFonts w:ascii="Symbol" w:hAnsi="Symbol" w:cs="Symbol"/>
      <w:b w:val="false"/>
      <w:i w:val="false"/>
      <w:sz w:val="20"/>
    </w:rPr>
  </w:style>
  <w:style w:type="character" w:styleId="WW8Num55z0">
    <w:name w:val="WW8Num55z0"/>
    <w:qFormat/>
    <w:rPr>
      <w:rFonts w:ascii="Arial" w:hAnsi="Arial" w:cs="Arial"/>
      <w:b w:val="false"/>
      <w:i w:val="false"/>
      <w:sz w:val="20"/>
    </w:rPr>
  </w:style>
  <w:style w:type="character" w:styleId="WW8Num58z0">
    <w:name w:val="WW8Num58z0"/>
    <w:qFormat/>
    <w:rPr>
      <w:rFonts w:ascii="Arial" w:hAnsi="Arial" w:cs="Arial"/>
      <w:b/>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Arial" w:hAnsi="Arial" w:cs="Arial"/>
      <w:b/>
      <w:i w:val="false"/>
      <w:sz w:val="21"/>
    </w:rPr>
  </w:style>
  <w:style w:type="character" w:styleId="WW8Num60z1">
    <w:name w:val="WW8Num60z1"/>
    <w:qFormat/>
    <w:rPr>
      <w:rFonts w:ascii="Arial" w:hAnsi="Arial" w:cs="Arial"/>
      <w:b/>
      <w:i w:val="false"/>
      <w:sz w:val="20"/>
    </w:rPr>
  </w:style>
  <w:style w:type="character" w:styleId="WW8Num60z2">
    <w:name w:val="WW8Num60z2"/>
    <w:qFormat/>
    <w:rPr>
      <w:rFonts w:ascii="Arial" w:hAnsi="Arial" w:cs="Arial"/>
      <w:b/>
      <w:i w:val="false"/>
      <w:sz w:val="17"/>
    </w:rPr>
  </w:style>
  <w:style w:type="character" w:styleId="WW8Num60z3">
    <w:name w:val="WW8Num60z3"/>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4z0">
    <w:name w:val="WW8Num64z0"/>
    <w:qFormat/>
    <w:rPr>
      <w:rFonts w:ascii="Arial" w:hAnsi="Arial" w:cs="Arial"/>
      <w:b w:val="false"/>
      <w:i w:val="false"/>
      <w:sz w:val="20"/>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2001-04-10T01:36:00Z</dcterms:created>
  <dc:creator>Any Authorised User</dc:creator>
  <dc:description/>
  <dc:language>en-CA</dc:language>
  <cp:lastModifiedBy>Any Authorised User</cp:lastModifiedBy>
  <cp:lastPrinted>2001-04-10T12:14:00Z</cp:lastPrinted>
  <dcterms:modified xsi:type="dcterms:W3CDTF">2001-04-10T01:44:00Z</dcterms:modified>
  <cp:revision>5</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Last Modified">
    <vt:lpwstr/>
  </property>
  <property fmtid="{D5CDD505-2E9C-101B-9397-08002B2CF9AE}" pid="4" name="Template Version">
    <vt:lpwstr>6.5a</vt:lpwstr>
  </property>
  <property fmtid="{D5CDD505-2E9C-101B-9397-08002B2CF9AE}" pid="5" name="Version">
    <vt:lpwstr/>
  </property>
</Properties>
</file>