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TWO ARBITRATIONS</w:t>
        <w:br/>
        <w:t>(UNDER THE UNCITRAL ARBITRATION RULES)</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Claimant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STATE OF MAHARASHTRA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Demand for Arbitration</w:t>
      </w:r>
    </w:p>
    <w:p>
      <w:pPr>
        <w:pStyle w:val="1LevelPara"/>
        <w:numPr>
          <w:ilvl w:val="0"/>
          <w:numId w:val="18"/>
        </w:numPr>
        <w:ind w:hanging="0" w:start="0" w:end="0"/>
        <w:rPr/>
      </w:pPr>
      <w:r>
        <w:rPr/>
        <w:t>Dabhol Power Company, the Claimant herein, hereby demands that the disputes and differences set out and described in paragraph 15 below (each “a Dispute”) which have arisen between it and The State of Maharashtra, the Respondent herein, out of or in connection with:-</w:t>
      </w:r>
    </w:p>
    <w:p>
      <w:pPr>
        <w:pStyle w:val="1LevelPara"/>
        <w:numPr>
          <w:ilvl w:val="0"/>
          <w:numId w:val="0"/>
        </w:numPr>
        <w:ind w:hanging="0" w:start="720" w:end="0"/>
        <w:rPr/>
      </w:pPr>
      <w:r>
        <w:rPr/>
        <w:t>(1)</w:t>
        <w:tab/>
        <w:t>a State Support Agreement between the Claimant and the Respondent made as a deed on 24</w:t>
      </w:r>
      <w:r>
        <w:rPr>
          <w:vertAlign w:val="superscript"/>
        </w:rPr>
        <w:t>th</w:t>
      </w:r>
      <w:r>
        <w:rPr/>
        <w:t xml:space="preserve"> June 1994 (“the GOM Support Agreement”); and,</w:t>
      </w:r>
    </w:p>
    <w:p>
      <w:pPr>
        <w:pStyle w:val="1LevelPara"/>
        <w:numPr>
          <w:ilvl w:val="0"/>
          <w:numId w:val="0"/>
        </w:numPr>
        <w:ind w:hanging="0" w:start="720" w:end="0"/>
        <w:rPr/>
      </w:pPr>
      <w:r>
        <w:rPr/>
        <w:t>(2)</w:t>
        <w:tab/>
        <w:t>a Supplemental State Support Agreement between the Claimant and the Respondent made as a deed on 27</w:t>
      </w:r>
      <w:r>
        <w:rPr>
          <w:vertAlign w:val="superscript"/>
        </w:rPr>
        <w:t>th</w:t>
      </w:r>
      <w:r>
        <w:rPr/>
        <w:t xml:space="preserve"> July 1996 (“the Supplemental GOM Support Agreement”)</w:t>
      </w:r>
    </w:p>
    <w:p>
      <w:pPr>
        <w:pStyle w:val="1LevelPara"/>
        <w:numPr>
          <w:ilvl w:val="0"/>
          <w:numId w:val="0"/>
        </w:numPr>
        <w:ind w:hanging="0" w:start="0"/>
        <w:rPr/>
      </w:pPr>
      <w:r>
        <w:rPr/>
        <w:t>be referred to arbitration pursuant to, and in accordance with, the provisions of the arbitration agreements between the parties set out in Clauses 11.1 to 11.3 of the GOM Support Agreement and Clause 5.2 of the Supplemental GOM Support Agreement, respectively, and, the Arbitration Rules of the United Nations Commission on International Trade Law (set out in resolution 35/52 on adopted by the United Nations General Assembly on 15</w:t>
      </w:r>
      <w:r>
        <w:rPr>
          <w:vertAlign w:val="superscript"/>
        </w:rPr>
        <w:t>th</w:t>
      </w:r>
      <w:r>
        <w:rPr/>
        <w:t xml:space="preserve"> December 1976) (“the UNCITRAL Arbitration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Arbitration shall bear the meanings ascribed to them in:-</w:t>
      </w:r>
    </w:p>
    <w:p>
      <w:pPr>
        <w:pStyle w:val="1LevelPara"/>
        <w:numPr>
          <w:ilvl w:val="0"/>
          <w:numId w:val="0"/>
        </w:numPr>
        <w:ind w:hanging="0" w:start="720" w:end="0"/>
        <w:rPr/>
      </w:pPr>
      <w:r>
        <w:rPr/>
        <w:t>(1)</w:t>
        <w:tab/>
        <w:t xml:space="preserve">Clause 1.1 of the GOM Support Agreement; and </w:t>
      </w:r>
    </w:p>
    <w:p>
      <w:pPr>
        <w:pStyle w:val="1LevelPara"/>
        <w:numPr>
          <w:ilvl w:val="0"/>
          <w:numId w:val="0"/>
        </w:numPr>
        <w:ind w:hanging="0" w:start="720" w:end="0"/>
        <w:rPr/>
      </w:pPr>
      <w:r>
        <w:rPr/>
        <w:t>(2)</w:t>
        <w:tab/>
        <w:t>Clause 1.1 of a Power Purchase Agreement entered into between the Claimant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Claimant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State of Maharashtra, acting through the Secretary to the Government of Maharashtra (Industries, Energy and Labour Department), whose principal office and address is at Mantralaya, Mumbai - 400 032, India.</w:t>
      </w:r>
    </w:p>
    <w:p>
      <w:pPr>
        <w:pStyle w:val="Recitals"/>
        <w:numPr>
          <w:ilvl w:val="0"/>
          <w:numId w:val="3"/>
        </w:numPr>
        <w:ind w:hanging="0" w:start="0"/>
        <w:rPr/>
      </w:pPr>
      <w:r>
        <w:rPr>
          <w:u w:val="single"/>
        </w:rPr>
        <w:t>Capacity of the Claimant</w:t>
      </w:r>
    </w:p>
    <w:p>
      <w:pPr>
        <w:pStyle w:val="1LevelPara"/>
        <w:numPr>
          <w:ilvl w:val="0"/>
          <w:numId w:val="18"/>
        </w:numPr>
        <w:ind w:hanging="0" w:start="0" w:end="0"/>
        <w:rPr/>
      </w:pPr>
      <w:r>
        <w:rPr/>
        <w:t>The Claimant herein serves this Notice of Arbitration and commences the references to arbitration begun in terms of this Notice of Arbitration, for itself and as a trustee for Foreign Investors and Lenders in accordance with the provisions of Clause 8.2(b) of the GOM Support Agreement.</w:t>
      </w:r>
    </w:p>
    <w:p>
      <w:pPr>
        <w:pStyle w:val="Recitals"/>
        <w:numPr>
          <w:ilvl w:val="0"/>
          <w:numId w:val="3"/>
        </w:numPr>
        <w:ind w:hanging="0" w:start="0"/>
        <w:rPr/>
      </w:pPr>
      <w:r>
        <w:rPr>
          <w:u w:val="single"/>
        </w:rPr>
        <w:t>Arbitration Agreements Invoked</w:t>
      </w:r>
    </w:p>
    <w:p>
      <w:pPr>
        <w:pStyle w:val="1LevelPara"/>
        <w:numPr>
          <w:ilvl w:val="0"/>
          <w:numId w:val="18"/>
        </w:numPr>
        <w:ind w:hanging="0" w:start="0" w:end="0"/>
        <w:rPr/>
      </w:pPr>
      <w:r>
        <w:rPr/>
        <w:t>The arbitration agreements which are invoked by the Claimant are set out in:-</w:t>
      </w:r>
    </w:p>
    <w:p>
      <w:pPr>
        <w:pStyle w:val="1LevelPara"/>
        <w:numPr>
          <w:ilvl w:val="0"/>
          <w:numId w:val="0"/>
        </w:numPr>
        <w:ind w:hanging="0" w:start="720" w:end="0"/>
        <w:rPr/>
      </w:pPr>
      <w:r>
        <w:rPr/>
        <w:t>(1)</w:t>
        <w:tab/>
        <w:t xml:space="preserve">Clauses 11.1 to 11.3 of the GOM Support Agreement; and </w:t>
      </w:r>
    </w:p>
    <w:p>
      <w:pPr>
        <w:pStyle w:val="1LevelPara"/>
        <w:numPr>
          <w:ilvl w:val="0"/>
          <w:numId w:val="0"/>
        </w:numPr>
        <w:ind w:hanging="0" w:start="720" w:end="0"/>
        <w:rPr/>
      </w:pPr>
      <w:r>
        <w:rPr/>
        <w:t>(2)</w:t>
        <w:tab/>
        <w:t>Clause 5.2 of the Supplemental GOM Support Agreement (in terms of which the arbitration agreement set out in Clauses 11.1 to 11.3 of the GOM Support Agreement was incorporated into the Supplemental GOM Support Agreement).</w:t>
      </w:r>
    </w:p>
    <w:p>
      <w:pPr>
        <w:pStyle w:val="1LevelPara"/>
        <w:numPr>
          <w:ilvl w:val="0"/>
          <w:numId w:val="0"/>
        </w:numPr>
        <w:ind w:hanging="0" w:start="0"/>
        <w:rPr/>
      </w:pPr>
      <w:r>
        <w:rPr/>
        <w:t>The text of the arbitration agreement set out in Clauses 11.1 to 11.3 of the GOM Support Agreement is set out in the Annexure to this Notice of Arbitration. The parties to the GOM Support Agreement and the Supplemental GOM Support Agreement have not entered into any agreement which provides that any arbitral proceeding begun pursuant to the parties’ arbitration agreements shall be held at any place other than London, or, that any such proceeding shall be conducted in any language other than the English language.</w:t>
      </w:r>
    </w:p>
    <w:p>
      <w:pPr>
        <w:pStyle w:val="Recitals"/>
        <w:numPr>
          <w:ilvl w:val="0"/>
          <w:numId w:val="3"/>
        </w:numPr>
        <w:ind w:hanging="0" w:start="0"/>
        <w:rPr/>
      </w:pPr>
      <w:r>
        <w:rPr>
          <w:u w:val="single"/>
        </w:rPr>
        <w:t>The Contracts</w:t>
      </w:r>
    </w:p>
    <w:p>
      <w:pPr>
        <w:pStyle w:val="1LevelPara"/>
        <w:numPr>
          <w:ilvl w:val="0"/>
          <w:numId w:val="18"/>
        </w:numPr>
        <w:ind w:hanging="0" w:start="0" w:end="0"/>
        <w:rPr/>
      </w:pPr>
      <w:r>
        <w:rPr/>
        <w:t xml:space="preserve">The contracts out of or in connection with which the Disputes have arisen are the GOM Support Agreement and the Supplemental GOM Support Agreement. </w:t>
      </w:r>
    </w:p>
    <w:p>
      <w:pPr>
        <w:pStyle w:val="Recitals"/>
        <w:numPr>
          <w:ilvl w:val="0"/>
          <w:numId w:val="3"/>
        </w:numPr>
        <w:ind w:hanging="0" w:start="0"/>
        <w:rPr/>
      </w:pPr>
      <w:r>
        <w:rPr>
          <w:u w:val="single"/>
        </w:rPr>
        <w:t>General Nature of the Claim and the Relief or Remedy Sought</w:t>
      </w:r>
    </w:p>
    <w:p>
      <w:pPr>
        <w:pStyle w:val="1LevelPara"/>
        <w:numPr>
          <w:ilvl w:val="0"/>
          <w:numId w:val="18"/>
        </w:numPr>
        <w:ind w:hanging="0" w:start="0" w:end="0"/>
        <w:rPr/>
      </w:pPr>
      <w:r>
        <w:rPr/>
        <w:t xml:space="preserve">In compliance with the provisions of Articles 3(3)(e) and 3(3)(f) of the UNCITRAL Arbitration Rules, in paragraphs 8 to 18 below the Claimant identifies the Disputes referred to arbitration (paragraph 15 below), sets out the general nature of the claim (paragraph 16 below), indicates the amount involved in the claim (paragraph 17 below) and describes the relief or remedy sought by it (paragraph 18 below). The Claimant’s claim herein and the relief or remedy sought by it will be particularised in due course in its Statement of Claim herein served in accordance with Article 18 of the UNCITRAL Arbitration Rules. </w:t>
      </w:r>
    </w:p>
    <w:p>
      <w:pPr>
        <w:pStyle w:val="Recitals"/>
        <w:numPr>
          <w:ilvl w:val="0"/>
          <w:numId w:val="0"/>
        </w:numPr>
        <w:ind w:firstLine="720" w:start="-720" w:end="0"/>
        <w:rPr>
          <w:b w:val="false"/>
        </w:rPr>
      </w:pPr>
      <w:r>
        <w:rPr>
          <w:b w:val="false"/>
        </w:rPr>
        <w:t>(1)</w:t>
        <w:tab/>
      </w:r>
      <w:r>
        <w:rPr>
          <w:b w:val="false"/>
          <w:u w:val="single"/>
        </w:rPr>
        <w:t>Facts constituting the Background to the Disputes and the Claim</w:t>
      </w:r>
    </w:p>
    <w:p>
      <w:pPr>
        <w:pStyle w:val="Recitals"/>
        <w:numPr>
          <w:ilvl w:val="0"/>
          <w:numId w:val="0"/>
        </w:numPr>
        <w:ind w:firstLine="720" w:start="-720" w:end="0"/>
        <w:rPr>
          <w:b w:val="false"/>
        </w:rPr>
      </w:pPr>
      <w:r>
        <w:rPr>
          <w:b w:val="false"/>
        </w:rPr>
        <w:t>(a)</w:t>
        <w:tab/>
      </w:r>
      <w:r>
        <w:rPr>
          <w:b w:val="false"/>
          <w:u w:val="single"/>
        </w:rPr>
        <w:t>GOM Guarantee Not Honoured</w:t>
      </w:r>
    </w:p>
    <w:p>
      <w:pPr>
        <w:pStyle w:val="1LevelPara"/>
        <w:numPr>
          <w:ilvl w:val="0"/>
          <w:numId w:val="18"/>
        </w:numPr>
        <w:ind w:hanging="0" w:start="0"/>
        <w:rPr/>
      </w:pPr>
      <w:r>
        <w:rPr/>
        <w:t>(1)</w:t>
        <w:tab/>
        <w:t>In terms of Clause 1 of the GOM Guarantee, the GOM irrevocably and unconditionally agreed to pay to the Claimant, within 7 calendar days of demand by the Claimant thereunder, any and every sum of money which the MSEB is liable to pay the Claimant under the PPA but shall have failed to pay in accordance with the terms of the PPA.</w:t>
      </w:r>
    </w:p>
    <w:p>
      <w:pPr>
        <w:pStyle w:val="1LevelPara"/>
        <w:numPr>
          <w:ilvl w:val="0"/>
          <w:numId w:val="0"/>
        </w:numPr>
        <w:ind w:hanging="0" w:start="720" w:end="0"/>
        <w:rPr/>
      </w:pPr>
      <w:r>
        <w:rPr/>
        <w:t>(2)</w:t>
        <w:tab/>
        <w:t>On 25</w:t>
      </w:r>
      <w:r>
        <w:rPr>
          <w:vertAlign w:val="superscript"/>
        </w:rPr>
        <w:t>th</w:t>
      </w:r>
      <w:r>
        <w:rPr/>
        <w:t xml:space="preserve"> January 2001, 6</w:t>
      </w:r>
      <w:r>
        <w:rPr>
          <w:vertAlign w:val="superscript"/>
        </w:rPr>
        <w:t>th</w:t>
      </w:r>
      <w:r>
        <w:rPr/>
        <w:t xml:space="preserve"> February 2001 and 3</w:t>
      </w:r>
      <w:r>
        <w:rPr>
          <w:vertAlign w:val="superscript"/>
        </w:rPr>
        <w:t>rd</w:t>
      </w:r>
      <w:r>
        <w:rPr/>
        <w:t xml:space="preserve"> April 2001 the Claimant made four demands upon the Respondent under the GOM Support Agreements for an aggregate amount of Rs. ●. On each such occasion the Respondent has failed to pay to the Claimant the sums which it was obliged to pay to the Claimant in pursuance of the GOM Guarantee.</w:t>
      </w:r>
    </w:p>
    <w:p>
      <w:pPr>
        <w:pStyle w:val="1LevelPara"/>
        <w:numPr>
          <w:ilvl w:val="0"/>
          <w:numId w:val="0"/>
        </w:numPr>
        <w:ind w:hanging="0" w:start="720" w:end="0"/>
        <w:rPr/>
      </w:pPr>
      <w:r>
        <w:rPr/>
        <w:t>(3)</w:t>
        <w:tab/>
        <w:t>On or about 5</w:t>
      </w:r>
      <w:r>
        <w:rPr>
          <w:vertAlign w:val="superscript"/>
        </w:rPr>
        <w:t>th</w:t>
      </w:r>
      <w:r>
        <w:rPr/>
        <w:t xml:space="preserve"> February 2001, the Finance and Planning Minister of the Respondent, Mr Jayant Rajaram Patil made a statement to a reporter of </w:t>
      </w:r>
      <w:r>
        <w:rPr>
          <w:i/>
        </w:rPr>
        <w:t>“The Economic Times”</w:t>
      </w:r>
      <w:r>
        <w:rPr/>
        <w:t xml:space="preserve"> commenting upon the decision of a credit-rating agency to downgrade the credit-rating of the Respondent following upon the Respondent’s Failure to honour demands made of it by the Claimant under the GOM Guarantee. He stated:-</w:t>
      </w:r>
    </w:p>
    <w:p>
      <w:pPr>
        <w:pStyle w:val="1LevelPara"/>
        <w:numPr>
          <w:ilvl w:val="0"/>
          <w:numId w:val="0"/>
        </w:numPr>
        <w:spacing w:lineRule="auto" w:line="240" w:before="0" w:after="240"/>
        <w:ind w:hanging="0" w:start="1440" w:end="0"/>
        <w:rPr>
          <w:i/>
          <w:i/>
        </w:rPr>
      </w:pPr>
      <w:r>
        <w:rPr>
          <w:i/>
        </w:rPr>
        <w:t>“</w:t>
      </w:r>
      <w:r>
        <w:rPr>
          <w:i/>
        </w:rPr>
        <w:t>These agencies have considered just Enron’s case which we have refused to honour our contractual obligations by choice. It is our strategic decision not to pay Enron as we want to scrap the power purchase agreement the state has with the company” Jayant Patil, state’s finance minister, told ET today. Our decision not to pay Enron has nothing to do with the state’s finances.”</w:t>
      </w:r>
    </w:p>
    <w:p>
      <w:pPr>
        <w:pStyle w:val="1LevelPara"/>
        <w:numPr>
          <w:ilvl w:val="0"/>
          <w:numId w:val="0"/>
        </w:numPr>
        <w:ind w:hanging="0" w:start="720" w:end="0"/>
        <w:rPr/>
      </w:pPr>
      <w:r>
        <w:rPr/>
        <w:t xml:space="preserve">(4) Likewise, on the same day, the same Minister of the Respondent made a statement to a reporter of the </w:t>
      </w:r>
      <w:r>
        <w:rPr>
          <w:i/>
        </w:rPr>
        <w:t>“Business Standard”</w:t>
      </w:r>
      <w:r>
        <w:rPr/>
        <w:t xml:space="preserve"> as follows:-</w:t>
      </w:r>
    </w:p>
    <w:p>
      <w:pPr>
        <w:pStyle w:val="1LevelPara"/>
        <w:numPr>
          <w:ilvl w:val="0"/>
          <w:numId w:val="0"/>
        </w:numPr>
        <w:spacing w:lineRule="auto" w:line="240" w:before="0" w:after="240"/>
        <w:ind w:hanging="0" w:start="1440" w:end="0"/>
        <w:rPr>
          <w:i/>
          <w:i/>
        </w:rPr>
      </w:pPr>
      <w:r>
        <w:rPr>
          <w:i/>
        </w:rPr>
        <w:t>“</w:t>
      </w:r>
      <w:r>
        <w:rPr>
          <w:i/>
        </w:rPr>
        <w:t>We want to reach a new understanding with the company on the project in which the Centre will have to get into the picture. …The non-payment of dues by the state government was necessitated by the contractual disagreement that arose and not because the government was unable to afford making payments. … This does not mean that the state is not able to fulfill its financial commitments. The fact is that we have not defaulted on a single interest or principal amount payment. Downgrading of the bonds from adequate safety to inadequate safety was an unfortunate step.</w:t>
      </w:r>
    </w:p>
    <w:p>
      <w:pPr>
        <w:pStyle w:val="1LevelPara"/>
        <w:numPr>
          <w:ilvl w:val="0"/>
          <w:numId w:val="0"/>
        </w:numPr>
        <w:spacing w:lineRule="auto" w:line="240" w:before="0" w:after="240"/>
        <w:ind w:hanging="0" w:start="1440" w:end="0"/>
        <w:rPr>
          <w:i/>
          <w:i/>
        </w:rPr>
      </w:pPr>
      <w:r>
        <w:rPr>
          <w:i/>
        </w:rPr>
        <w:t>It was in the interest of the state that a decision was taken to review the entire situation. The state is keen to resolving the issue. When the rating agency informed us about the downgradation, we told them that it was not because we were short of funds but because the state had decided to set up a review committee that would look into the issue and recommend whether we needed to renegotiate with the company or follow some other avenue for resolving the problem of increased tariffs.”</w:t>
      </w:r>
    </w:p>
    <w:p>
      <w:pPr>
        <w:pStyle w:val="1LevelPara"/>
        <w:numPr>
          <w:ilvl w:val="0"/>
          <w:numId w:val="0"/>
        </w:numPr>
        <w:ind w:hanging="0" w:start="720" w:end="0"/>
        <w:rPr/>
      </w:pPr>
      <w:r>
        <w:rPr/>
        <w:t>(5)</w:t>
        <w:tab/>
        <w:t>The decisions on the part of the Respondent not to honour its obligations to the Claimant under the GOM Guarantee were decisions taken by the Cabinet of the Respondent and/or decisions taken by (</w:t>
      </w:r>
      <w:r>
        <w:rPr>
          <w:i/>
        </w:rPr>
        <w:t>inter alios</w:t>
      </w:r>
      <w:r>
        <w:rPr/>
        <w:t>) its Chief Minister and its Minister of Finance and Planning. The decisions were taken in furtherance or in implementation of the policy of the Respondent referred to in ● below.</w:t>
      </w:r>
    </w:p>
    <w:p>
      <w:pPr>
        <w:pStyle w:val="Recitals"/>
        <w:numPr>
          <w:ilvl w:val="0"/>
          <w:numId w:val="0"/>
        </w:numPr>
        <w:ind w:firstLine="720" w:start="-720" w:end="0"/>
        <w:rPr>
          <w:b w:val="false"/>
        </w:rPr>
      </w:pPr>
      <w:r>
        <w:rPr>
          <w:b w:val="false"/>
        </w:rPr>
        <w:t>(b)</w:t>
        <w:tab/>
      </w:r>
      <w:r>
        <w:rPr>
          <w:b w:val="false"/>
          <w:u w:val="single"/>
        </w:rPr>
        <w:t>Procurement of Breach of the GOI Support Agreement</w:t>
      </w:r>
    </w:p>
    <w:p>
      <w:pPr>
        <w:pStyle w:val="1LevelPara"/>
        <w:numPr>
          <w:ilvl w:val="0"/>
          <w:numId w:val="18"/>
        </w:numPr>
        <w:ind w:hanging="0" w:start="0"/>
        <w:rPr/>
      </w:pPr>
      <w:r>
        <w:rPr/>
        <w:t>(1)</w:t>
        <w:tab/>
        <w:t>On or about 8</w:t>
      </w:r>
      <w:r>
        <w:rPr>
          <w:vertAlign w:val="superscript"/>
        </w:rPr>
        <w:t>th</w:t>
      </w:r>
      <w:r>
        <w:rPr/>
        <w:t xml:space="preserve"> March 2001 (by a letter dated 7</w:t>
      </w:r>
      <w:r>
        <w:rPr>
          <w:vertAlign w:val="superscript"/>
        </w:rPr>
        <w:t>th</w:t>
      </w:r>
      <w:r>
        <w:rPr/>
        <w:t xml:space="preserve"> March 2001), the Claimant made demand upon the Government of India (“the GOI”) pursuant to the provisions of the GOI Support Agreement for the payment of the sum of Rs. 1,020,000,000.00, which sum was (a) due and payable by the MSEB to the Claimant on 25</w:t>
      </w:r>
      <w:r>
        <w:rPr>
          <w:vertAlign w:val="superscript"/>
        </w:rPr>
        <w:t>th</w:t>
      </w:r>
      <w:r>
        <w:rPr/>
        <w:t xml:space="preserve"> January 2001 under the PPA and in terms of the Claimant’s monthly billing statement relating to the month of December 2000 dated 5</w:t>
      </w:r>
      <w:r>
        <w:rPr>
          <w:vertAlign w:val="superscript"/>
        </w:rPr>
        <w:t>th</w:t>
      </w:r>
      <w:r>
        <w:rPr/>
        <w:t xml:space="preserve"> January 2001 (but which the MSEB had failed to pay to the Claimant and (b) due and payable by the Respondent under the GOM Guarantee on 13</w:t>
      </w:r>
      <w:r>
        <w:rPr>
          <w:vertAlign w:val="superscript"/>
        </w:rPr>
        <w:t>th</w:t>
      </w:r>
      <w:r>
        <w:rPr/>
        <w:t xml:space="preserve"> February 2001 pursuant to a demand therefor made by the Claimant by a letter dated 5</w:t>
      </w:r>
      <w:r>
        <w:rPr>
          <w:vertAlign w:val="superscript"/>
        </w:rPr>
        <w:t>th</w:t>
      </w:r>
      <w:r>
        <w:rPr/>
        <w:t xml:space="preserve"> February 2001.</w:t>
      </w:r>
    </w:p>
    <w:p>
      <w:pPr>
        <w:pStyle w:val="1LevelPara"/>
        <w:numPr>
          <w:ilvl w:val="0"/>
          <w:numId w:val="0"/>
        </w:numPr>
        <w:ind w:hanging="0" w:start="720" w:end="0"/>
        <w:rPr/>
      </w:pPr>
      <w:r>
        <w:rPr/>
        <w:t>(b)</w:t>
        <w:tab/>
        <w:t>By a letter dated 31</w:t>
      </w:r>
      <w:r>
        <w:rPr>
          <w:vertAlign w:val="superscript"/>
        </w:rPr>
        <w:t>st</w:t>
      </w:r>
      <w:r>
        <w:rPr/>
        <w:t xml:space="preserve"> March 2001 the GOI wrongfully refused to pay the sum of Rs. 1,020,000,000.00 to the Claimant under the GOI Support Agreement. In that letter (at paragraph numbered 5) the GOI referred to a letter having been received by it from the Respondent dated 15</w:t>
      </w:r>
      <w:r>
        <w:rPr>
          <w:vertAlign w:val="superscript"/>
        </w:rPr>
        <w:t>th</w:t>
      </w:r>
      <w:r>
        <w:rPr/>
        <w:t xml:space="preserve"> March 2001 requesting, requiring, encouraging counselling, or procuring that the GOI not make any payment to the Claimant in response to the demand made by the Claimant under the GOI Support Agreement. That action was taken in furtherance or implementation of the policy of the Respondent described in paragraph 10(2).</w:t>
      </w:r>
    </w:p>
    <w:p>
      <w:pPr>
        <w:pStyle w:val="Recitals"/>
        <w:numPr>
          <w:ilvl w:val="0"/>
          <w:numId w:val="0"/>
        </w:numPr>
        <w:ind w:firstLine="720" w:start="-720" w:end="0"/>
        <w:rPr>
          <w:b w:val="false"/>
        </w:rPr>
      </w:pPr>
      <w:r>
        <w:rPr>
          <w:b w:val="false"/>
        </w:rPr>
        <w:t>(c)</w:t>
        <w:tab/>
      </w:r>
      <w:r>
        <w:rPr>
          <w:b w:val="false"/>
          <w:u w:val="single"/>
        </w:rPr>
        <w:t>Non-Payment and Misperformance by the MSEB under the PPA</w:t>
      </w:r>
    </w:p>
    <w:p>
      <w:pPr>
        <w:pStyle w:val="1LevelPara"/>
        <w:numPr>
          <w:ilvl w:val="0"/>
          <w:numId w:val="18"/>
        </w:numPr>
        <w:ind w:hanging="0" w:start="0"/>
        <w:rPr/>
      </w:pPr>
      <w:r>
        <w:rPr/>
        <w:t>(1)</w:t>
        <w:tab/>
        <w:t>The MSEB is a statutory corporation incorporated under the Electricity (Supply) Act 1948. The Respondent controls the board of directors of the MSEB. In addition, through the provision (</w:t>
      </w:r>
      <w:r>
        <w:rPr>
          <w:i/>
        </w:rPr>
        <w:t>inter alia</w:t>
      </w:r>
      <w:r>
        <w:rPr/>
        <w:t xml:space="preserve">) of financial assistance and/or subventions made by the Respondent to the MSEB, the Respondent controls the finances of the MSEB and is, as a practical matter, able to exert, and does in fact exert, a high degree of control over the management of the MSEB and the conduct of its day-to-day business including (without limitation) the time, order of priority and/or extent to which the MSEB pays its suppliers, creditors and those who provide financial to it. When and where it chooses to do so, the Respondent controls and directs the policies and actions of the MSEB. </w:t>
      </w:r>
    </w:p>
    <w:p>
      <w:pPr>
        <w:pStyle w:val="1LevelPara"/>
        <w:numPr>
          <w:ilvl w:val="0"/>
          <w:numId w:val="0"/>
        </w:numPr>
        <w:ind w:hanging="0" w:start="720" w:end="0"/>
        <w:rPr/>
      </w:pPr>
      <w:r>
        <w:rPr/>
        <w:t>(2)</w:t>
        <w:tab/>
        <w:t>The Respondent has adopted and has sought to pursue a policy whose objective and/or the implementation of which includes or requires (</w:t>
      </w:r>
      <w:r>
        <w:rPr>
          <w:i/>
        </w:rPr>
        <w:t>inter alia</w:t>
      </w:r>
      <w:r>
        <w:rPr/>
        <w:t>) the re-negotiation of the terms of the PPA and the amendment of those terms (in particular, the tariff under the PPA) to the disadvantage of the Claimant and/or the cancellation, modification or forced abandonment (by the Claimant) of Phase II of the Project and/or the delay of Entry into Commercial Service of Phase II of the Project or the constituent elements thereof.</w:t>
      </w:r>
    </w:p>
    <w:p>
      <w:pPr>
        <w:pStyle w:val="1LevelPara"/>
        <w:numPr>
          <w:ilvl w:val="0"/>
          <w:numId w:val="0"/>
        </w:numPr>
        <w:ind w:hanging="0" w:start="720" w:end="0"/>
        <w:rPr/>
      </w:pPr>
      <w:r>
        <w:rPr/>
        <w:t>(3)</w:t>
        <w:tab/>
        <w:t>The Respondent has sought to implement its policy by partly by means of its own actions and partly through the MSEB and its actions.</w:t>
      </w:r>
    </w:p>
    <w:p>
      <w:pPr>
        <w:pStyle w:val="1LevelPara"/>
        <w:numPr>
          <w:ilvl w:val="0"/>
          <w:numId w:val="0"/>
        </w:numPr>
        <w:ind w:hanging="0" w:start="720" w:end="0"/>
        <w:rPr/>
      </w:pPr>
      <w:r>
        <w:rPr/>
        <w:t>(4)</w:t>
        <w:tab/>
        <w:t>Under and in terms of Clause 11.2(f) of the PPA the MSEB is obliged to pay the sums brought out as due and owing by it to the Claimant in terms of the monthly billing statements delivered to it under Clause 11.1(a) of the PPA by not later than the dates specified in Clause 11.2(f). Since approximately October 2000 the MSEB has persistently failed to pay to the Claimant all such sums as have become due to it under the PPA punctually or (in certain cases) at all.</w:t>
      </w:r>
    </w:p>
    <w:p>
      <w:pPr>
        <w:pStyle w:val="1LevelPara"/>
        <w:numPr>
          <w:ilvl w:val="0"/>
          <w:numId w:val="0"/>
        </w:numPr>
        <w:ind w:hanging="0" w:start="720" w:end="0"/>
        <w:rPr/>
      </w:pPr>
      <w:r>
        <w:rPr/>
        <w:t>(5)</w:t>
        <w:tab/>
        <w:t>Further, since 28</w:t>
      </w:r>
      <w:r>
        <w:rPr>
          <w:vertAlign w:val="superscript"/>
        </w:rPr>
        <w:t>th</w:t>
      </w:r>
      <w:r>
        <w:rPr/>
        <w:t xml:space="preserve"> January 2001 the MSEB has engaged in a practice of seeking to despatch the Power Station is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 The pattern of the MSEB’s Despatch Instructions are wholly unrelated to the MSEB’s actual requirements for electrical energy. The times and manner in which the MSEB has given its Despatch Instructions demonstrate that they had not been give </w:t>
      </w:r>
      <w:r>
        <w:rPr>
          <w:i/>
        </w:rPr>
        <w:t>bona fide</w:t>
      </w:r>
      <w:r>
        <w:rPr/>
        <w:t>.</w:t>
      </w:r>
    </w:p>
    <w:p>
      <w:pPr>
        <w:pStyle w:val="1LevelPara"/>
        <w:numPr>
          <w:ilvl w:val="0"/>
          <w:numId w:val="0"/>
        </w:numPr>
        <w:ind w:hanging="0" w:start="720" w:end="0"/>
        <w:rPr/>
      </w:pPr>
      <w:r>
        <w:rPr/>
        <w:t>(6)</w:t>
        <w:tab/>
        <w:t>The Respondent has sought to procure, cause or require the MSEB to fail to comply, alternatively to fail to comply punctually, with the obligations owed by the MSEB to the Claimant under the PPA in pursuance of the policy referred to described in sub-paragraph 10(2) above. Alternatively, the actions set out or referred to in sub-paragraph 10(4) and 10(5) above have been taken by the MSEB by joint decision and as part of a joint design with the Respondent (whose objective is the furtherance of the policy described in sub-paragraph 10(2) above) and/or with the Respondent’s prior knowledge, its consent and its concurrence.</w:t>
      </w:r>
    </w:p>
    <w:p>
      <w:pPr>
        <w:pStyle w:val="Recitals"/>
        <w:numPr>
          <w:ilvl w:val="0"/>
          <w:numId w:val="0"/>
        </w:numPr>
        <w:ind w:firstLine="720" w:start="-720" w:end="0"/>
        <w:rPr>
          <w:b w:val="false"/>
        </w:rPr>
      </w:pPr>
      <w:r>
        <w:rPr>
          <w:b w:val="false"/>
        </w:rPr>
        <w:t>(d)</w:t>
        <w:tab/>
      </w:r>
      <w:r>
        <w:rPr>
          <w:b w:val="false"/>
          <w:u w:val="single"/>
        </w:rPr>
        <w:t>Establishment of the GOM Energy Review Committee</w:t>
      </w:r>
    </w:p>
    <w:p>
      <w:pPr>
        <w:pStyle w:val="1LevelPara"/>
        <w:numPr>
          <w:ilvl w:val="0"/>
          <w:numId w:val="18"/>
        </w:numPr>
        <w:ind w:hanging="0" w:start="0"/>
        <w:rPr/>
      </w:pPr>
      <w:r>
        <w:rPr/>
        <w:t>(1)</w:t>
        <w:tab/>
        <w:t>By a Resolution dated 9</w:t>
      </w:r>
      <w:r>
        <w:rPr>
          <w:vertAlign w:val="superscript"/>
        </w:rPr>
        <w:t>th</w:t>
      </w:r>
      <w:r>
        <w:rPr/>
        <w:t xml:space="preserve"> February 2001 (Resolution No. PSP 2001/CR3448/ NRG-2) the Respondent constituted an Energy Review Committee consisting (initially) of six members for the following purposes:-</w:t>
      </w:r>
    </w:p>
    <w:p>
      <w:pPr>
        <w:pStyle w:val="1LevelPara"/>
        <w:numPr>
          <w:ilvl w:val="0"/>
          <w:numId w:val="0"/>
        </w:numPr>
        <w:spacing w:lineRule="auto" w:line="240"/>
        <w:ind w:hanging="0" w:start="1440" w:end="0"/>
        <w:rPr>
          <w:i/>
          <w:i/>
        </w:rPr>
      </w:pPr>
      <w:r>
        <w:rPr>
          <w:i/>
        </w:rPr>
        <w:t>“</w:t>
      </w:r>
      <w:r>
        <w:rPr>
          <w:i/>
        </w:rPr>
        <w:t>Pursuant to the new power policies, several independent power projects have been and are being set up in the State of Maharashtra. Under the present policy of Government of India, export of power outside State or sale of power by Independent Power Projects (IPPs) to parties other than Maharashtra State Electricity Board (MSEB) is not permitted. The entire position of demand and supply of electric power within the State has undergone a change in the last five years.</w:t>
      </w:r>
    </w:p>
    <w:p>
      <w:pPr>
        <w:pStyle w:val="1LevelPara"/>
        <w:numPr>
          <w:ilvl w:val="0"/>
          <w:numId w:val="0"/>
        </w:numPr>
        <w:spacing w:lineRule="auto" w:line="240" w:before="0" w:after="240"/>
        <w:ind w:hanging="0" w:start="1440" w:end="0"/>
        <w:rPr>
          <w:i/>
          <w:i/>
        </w:rPr>
      </w:pPr>
      <w:r>
        <w:rPr>
          <w:i/>
        </w:rPr>
        <w:t>In view of the current scenario, the State Government is of the opinion that a general review of the power situation as well as specific review of particular IPPs, their implications and effects upon the demand and supply of power and their financial implications has become necessary.”</w:t>
      </w:r>
    </w:p>
    <w:p>
      <w:pPr>
        <w:pStyle w:val="1LevelPara"/>
        <w:numPr>
          <w:ilvl w:val="0"/>
          <w:numId w:val="0"/>
        </w:numPr>
        <w:ind w:hanging="0" w:start="720" w:end="0"/>
        <w:rPr/>
      </w:pPr>
      <w:r>
        <w:rPr/>
        <w:t>(2)</w:t>
        <w:tab/>
        <w:t>The terms of reference of the Energy Review Committee were the following:-</w:t>
      </w:r>
    </w:p>
    <w:p>
      <w:pPr>
        <w:pStyle w:val="1LevelPara"/>
        <w:numPr>
          <w:ilvl w:val="0"/>
          <w:numId w:val="0"/>
        </w:numPr>
        <w:spacing w:lineRule="auto" w:line="240"/>
        <w:ind w:hanging="0" w:start="1440" w:end="0"/>
        <w:rPr>
          <w:i/>
          <w:i/>
        </w:rPr>
      </w:pPr>
      <w:r>
        <w:rPr>
          <w:i/>
        </w:rPr>
        <w:t>“</w:t>
      </w:r>
      <w:r>
        <w:rPr>
          <w:i/>
        </w:rPr>
        <w:t>A).</w:t>
        <w:tab/>
        <w:t>To review the position of overall demand and supply of electric power in the State, with special reference to the supply of power by projects of independent power producers and purchase thereof by the MSEB for which Power Purchase Agreements (PPA) have either been signed or are proposed.</w:t>
      </w:r>
    </w:p>
    <w:p>
      <w:pPr>
        <w:pStyle w:val="1LevelPara"/>
        <w:numPr>
          <w:ilvl w:val="0"/>
          <w:numId w:val="0"/>
        </w:numPr>
        <w:spacing w:lineRule="auto" w:line="240"/>
        <w:ind w:hanging="0" w:start="1440" w:end="0"/>
        <w:rPr>
          <w:i/>
          <w:i/>
        </w:rPr>
      </w:pPr>
      <w:r>
        <w:rPr>
          <w:i/>
        </w:rPr>
        <w:t>B).</w:t>
        <w:tab/>
        <w:t>To examine the cost of power supplied by the DPC and the distribution of power losses and its implications on the finances/tariff of MSEB.</w:t>
      </w:r>
    </w:p>
    <w:p>
      <w:pPr>
        <w:pStyle w:val="1LevelPara"/>
        <w:numPr>
          <w:ilvl w:val="0"/>
          <w:numId w:val="0"/>
        </w:numPr>
        <w:spacing w:lineRule="auto" w:line="240"/>
        <w:ind w:hanging="0" w:start="1440" w:end="0"/>
        <w:rPr>
          <w:i/>
          <w:i/>
        </w:rPr>
      </w:pPr>
      <w:r>
        <w:rPr>
          <w:i/>
        </w:rPr>
        <w:t>C).</w:t>
        <w:tab/>
        <w:t>To review and reconsider the provisions of the PPA signed with the DPC after holding discussions with the said Company, the MSEB and related authorities and to suggest appropriate measures to facilitate purchase of the power produced by the DPC by other agencies/parties (including Government of India or their agencies).</w:t>
      </w:r>
    </w:p>
    <w:p>
      <w:pPr>
        <w:pStyle w:val="1LevelPara"/>
        <w:numPr>
          <w:ilvl w:val="0"/>
          <w:numId w:val="0"/>
        </w:numPr>
        <w:spacing w:lineRule="auto" w:line="240"/>
        <w:ind w:hanging="0" w:start="1440" w:end="0"/>
        <w:rPr>
          <w:i/>
          <w:i/>
        </w:rPr>
      </w:pPr>
      <w:r>
        <w:rPr>
          <w:i/>
        </w:rPr>
        <w:t>D).</w:t>
        <w:tab/>
        <w:t>To suggest the broad future course of action for reforms in the energy sector in the State.</w:t>
      </w:r>
    </w:p>
    <w:p>
      <w:pPr>
        <w:pStyle w:val="1LevelPara"/>
        <w:numPr>
          <w:ilvl w:val="0"/>
          <w:numId w:val="0"/>
        </w:numPr>
        <w:spacing w:lineRule="auto" w:line="240" w:before="0" w:after="240"/>
        <w:ind w:hanging="0" w:start="1440" w:end="0"/>
        <w:rPr>
          <w:i/>
          <w:i/>
        </w:rPr>
      </w:pPr>
      <w:r>
        <w:rPr>
          <w:i/>
        </w:rPr>
        <w:t>E).</w:t>
        <w:tab/>
        <w:t>Any other matter which the State Government may consider necessary to refer to the Committee in the above-mentioned context.”</w:t>
      </w:r>
    </w:p>
    <w:p>
      <w:pPr>
        <w:pStyle w:val="1LevelPara"/>
        <w:numPr>
          <w:ilvl w:val="0"/>
          <w:numId w:val="0"/>
        </w:numPr>
        <w:ind w:hanging="720" w:start="1440" w:end="0"/>
        <w:rPr/>
      </w:pPr>
      <w:r>
        <w:rPr/>
        <w:t>(3)</w:t>
        <w:tab/>
        <w:t>(a)</w:t>
        <w:tab/>
        <w:t>The expressed purposes of the Resolution notwithstanding, the primary function of the Energy Review Committee was and is a review of the Project and the PPA.</w:t>
      </w:r>
    </w:p>
    <w:p>
      <w:pPr>
        <w:pStyle w:val="1LevelPara"/>
        <w:numPr>
          <w:ilvl w:val="0"/>
          <w:numId w:val="0"/>
        </w:numPr>
        <w:ind w:hanging="0" w:start="1440" w:end="0"/>
        <w:rPr/>
      </w:pPr>
      <w:r>
        <w:rPr/>
        <w:t>(b)</w:t>
        <w:tab/>
        <w:t>The Energy Review Committee was neither invited nor required by the Respondent to review or to assess the costs or the tariff of any private sector power station operator in the State of Maharashtra, nor has it done so.</w:t>
      </w:r>
    </w:p>
    <w:p>
      <w:pPr>
        <w:pStyle w:val="Recitals"/>
        <w:numPr>
          <w:ilvl w:val="0"/>
          <w:numId w:val="0"/>
        </w:numPr>
        <w:ind w:firstLine="720" w:start="-720" w:end="0"/>
        <w:rPr>
          <w:b w:val="false"/>
        </w:rPr>
      </w:pPr>
      <w:r>
        <w:rPr>
          <w:b w:val="false"/>
        </w:rPr>
        <w:t>(e)</w:t>
        <w:tab/>
      </w:r>
      <w:r>
        <w:rPr>
          <w:b w:val="false"/>
          <w:u w:val="single"/>
        </w:rPr>
        <w:t>Delay or Refusal to Grant Clearances</w:t>
      </w:r>
    </w:p>
    <w:p>
      <w:pPr>
        <w:pStyle w:val="1LevelPara"/>
        <w:numPr>
          <w:ilvl w:val="0"/>
          <w:numId w:val="18"/>
        </w:numPr>
        <w:ind w:hanging="0" w:start="0"/>
        <w:rPr/>
      </w:pPr>
      <w:r>
        <w:rPr/>
        <w:t>(1)</w:t>
        <w:tab/>
        <w:t xml:space="preserve">On </w:t>
      </w:r>
      <w:r>
        <w:rPr>
          <w:rFonts w:eastAsia="Symbol" w:cs="Symbol" w:ascii="Symbol" w:hAnsi="Symbol"/>
        </w:rPr>
        <w:sym w:font="Symbol" w:char="f0b7"/>
      </w:r>
      <w:r>
        <w:rPr/>
        <w:t xml:space="preserve"> [date] the claimant applied to [GOM agency] for a renewal of its licence to import naphtha as a fuel source for the Power Station. On </w:t>
      </w:r>
      <w:r>
        <w:rPr>
          <w:rFonts w:eastAsia="Symbol" w:cs="Symbol" w:ascii="Symbol" w:hAnsi="Symbol"/>
        </w:rPr>
        <w:sym w:font="Symbol" w:char="f0b7"/>
      </w:r>
      <w:r>
        <w:rPr/>
        <w:t xml:space="preserve"> [date] [GOM agency] refused to renew the Claimant’s licence to import naphtha. Consequently, the Claimant has been required to purchase domestically-produced naphtha at greater cost to it than would have been the case had its licence to import naphtha been renewed.</w:t>
      </w:r>
    </w:p>
    <w:p>
      <w:pPr>
        <w:pStyle w:val="1LevelPara"/>
        <w:numPr>
          <w:ilvl w:val="0"/>
          <w:numId w:val="0"/>
        </w:numPr>
        <w:ind w:hanging="720" w:start="1440" w:end="0"/>
        <w:rPr/>
      </w:pPr>
      <w:r>
        <w:rPr/>
        <w:t>(2)</w:t>
        <w:tab/>
        <w:t>(a)</w:t>
        <w:tab/>
        <w:t>In order to be entitled to operate the Power Station the Claimant requires to hold a consent to operate the Power Station issued by the Maharashtra Pollution Central Board (“the MPCB”), an agency of the Respondent constituted under [legislation].</w:t>
      </w:r>
    </w:p>
    <w:p>
      <w:pPr>
        <w:pStyle w:val="1LevelPara"/>
        <w:numPr>
          <w:ilvl w:val="0"/>
          <w:numId w:val="0"/>
        </w:numPr>
        <w:ind w:hanging="720" w:start="2160" w:end="0"/>
        <w:rPr/>
      </w:pPr>
      <w:r>
        <w:rPr/>
        <w:t>(b)</w:t>
        <w:tab/>
        <w:t>The Claimant applied to the MPCB for a consent to operate the Power Station, and was granted a consent to operate for a period of one year, on 20</w:t>
      </w:r>
      <w:r>
        <w:rPr>
          <w:vertAlign w:val="superscript"/>
        </w:rPr>
        <w:t>th</w:t>
      </w:r>
      <w:r>
        <w:rPr/>
        <w:t xml:space="preserve"> May 1999. The Claimant’s consent to operate the Power Station for a period of one year was renewed by the MPCB on </w:t>
      </w:r>
      <w:r>
        <w:rPr>
          <w:rFonts w:eastAsia="Symbol" w:cs="Symbol" w:ascii="Symbol" w:hAnsi="Symbol"/>
        </w:rPr>
        <w:sym w:font="Symbol" w:char="f0b7"/>
      </w:r>
      <w:r>
        <w:rPr/>
        <w:t xml:space="preserve"> 2000 [date].</w:t>
      </w:r>
    </w:p>
    <w:p>
      <w:pPr>
        <w:pStyle w:val="1LevelPara"/>
        <w:numPr>
          <w:ilvl w:val="0"/>
          <w:numId w:val="0"/>
        </w:numPr>
        <w:ind w:hanging="720" w:start="2160" w:end="0"/>
        <w:rPr/>
      </w:pPr>
      <w:r>
        <w:rPr/>
        <w:t>(c)</w:t>
        <w:tab/>
        <w:t>On or about 22</w:t>
      </w:r>
      <w:r>
        <w:rPr>
          <w:vertAlign w:val="superscript"/>
        </w:rPr>
        <w:t>nd</w:t>
      </w:r>
      <w:r>
        <w:rPr/>
        <w:t xml:space="preserve"> January 2001, the Claimant applied to the MPCB for a renewal of its consent to operate the Power Station for a further period of one year to take effect as from 31</w:t>
      </w:r>
      <w:r>
        <w:rPr>
          <w:vertAlign w:val="superscript"/>
        </w:rPr>
        <w:t>st</w:t>
      </w:r>
      <w:r>
        <w:rPr/>
        <w:t xml:space="preserve"> March 2001.</w:t>
      </w:r>
    </w:p>
    <w:p>
      <w:pPr>
        <w:pStyle w:val="1LevelPara"/>
        <w:numPr>
          <w:ilvl w:val="0"/>
          <w:numId w:val="0"/>
        </w:numPr>
        <w:ind w:hanging="720" w:start="2160" w:end="0"/>
        <w:rPr/>
      </w:pPr>
      <w:r>
        <w:rPr/>
        <w:t>(d)</w:t>
        <w:tab/>
        <w:t>Despite numerous written requests made of it by the Claimant [dates?], the MPCB has failed to renew the Claimant’s consent to operate the Power Station for a further period of one year as requested by the Claimant. By a letter dated 31</w:t>
      </w:r>
      <w:r>
        <w:rPr>
          <w:vertAlign w:val="superscript"/>
        </w:rPr>
        <w:t>st</w:t>
      </w:r>
      <w:r>
        <w:rPr/>
        <w:t xml:space="preserve"> March 2001 the MPCB informed the Claimant that its application for a renewal of its consent to operate for a period of one year had been referred to the Consent Appraisal Board of the MPCB, but that no decision had been taken. The Claimant was informed that, pending the decision of the Consent Appraisal Board of the MPCB, the Claimant might continue to treat its prior consent to operate the Power Station dated </w:t>
      </w:r>
      <w:r>
        <w:rPr>
          <w:rFonts w:eastAsia="Symbol" w:cs="Symbol" w:ascii="Symbol" w:hAnsi="Symbol"/>
        </w:rPr>
        <w:sym w:font="Symbol" w:char="f0b7"/>
      </w:r>
      <w:r>
        <w:rPr/>
        <w:t xml:space="preserve"> 2000 as valid.</w:t>
      </w:r>
    </w:p>
    <w:p>
      <w:pPr>
        <w:pStyle w:val="1LevelPara"/>
        <w:numPr>
          <w:ilvl w:val="0"/>
          <w:numId w:val="0"/>
        </w:numPr>
        <w:ind w:hanging="0" w:start="720" w:end="0"/>
        <w:rPr/>
      </w:pPr>
      <w:r>
        <w:rPr/>
        <w:t>(3)</w:t>
        <w:tab/>
        <w:t>On 21</w:t>
      </w:r>
      <w:r>
        <w:rPr>
          <w:vertAlign w:val="superscript"/>
        </w:rPr>
        <w:t>st</w:t>
      </w:r>
      <w:r>
        <w:rPr/>
        <w:t xml:space="preserve"> January 2001 the Claimant commenced testing and commissioning of Block B of Phase II of the Project pursuant to the provisions of the consent to establish issued to the Claimant by the MPCB on 16</w:t>
      </w:r>
      <w:r>
        <w:rPr>
          <w:vertAlign w:val="superscript"/>
        </w:rPr>
        <w:t>th</w:t>
      </w:r>
      <w:r>
        <w:rPr/>
        <w:t xml:space="preserve"> March 1996. On 9</w:t>
      </w:r>
      <w:r>
        <w:rPr>
          <w:vertAlign w:val="superscript"/>
        </w:rPr>
        <w:t>th</w:t>
      </w:r>
      <w:r>
        <w:rPr/>
        <w:t xml:space="preserve"> March 2001 the MPCB served a notice upon the Claimant prohibiting it from testing and commissioning Block B of Phase II of the Project without first obtaining a consent to operate. The MPCB’s actions had no proper legal basis or foundation. Subsequently, on 4</w:t>
      </w:r>
      <w:r>
        <w:rPr>
          <w:vertAlign w:val="superscript"/>
        </w:rPr>
        <w:t>th</w:t>
      </w:r>
      <w:r>
        <w:rPr/>
        <w:t xml:space="preserve"> April 2001 following representations addressed to the MPCB the MPCB purported to grant a permission to the Claimant to permit testing and commissioning under the Claimant’s consent to establish. That permission was not one which the MPCB was empowered to grant, nor was the MPCB lawfully entitled to require the provision of a bank guarantee by the Claimant or to purport to limit the period for testing commissioning to a period running from 4</w:t>
      </w:r>
      <w:r>
        <w:rPr>
          <w:vertAlign w:val="superscript"/>
        </w:rPr>
        <w:t>th</w:t>
      </w:r>
      <w:r>
        <w:rPr/>
        <w:t xml:space="preserve"> April 2001 to 30</w:t>
      </w:r>
      <w:r>
        <w:rPr>
          <w:vertAlign w:val="superscript"/>
        </w:rPr>
        <w:t>th</w:t>
      </w:r>
      <w:r>
        <w:rPr/>
        <w:t xml:space="preserve"> June 2001, in each such case because the Claimant was in any event fully entitled to conduct the testing and commissioning of Block B of Phase II of the Project under its consent to establish.</w:t>
      </w:r>
    </w:p>
    <w:p>
      <w:pPr>
        <w:pStyle w:val="1LevelPara"/>
        <w:numPr>
          <w:ilvl w:val="0"/>
          <w:numId w:val="0"/>
        </w:numPr>
        <w:ind w:hanging="0" w:start="720" w:end="0"/>
        <w:rPr/>
      </w:pPr>
      <w:r>
        <w:rPr/>
        <w:t>(4)</w:t>
        <w:tab/>
        <w:t xml:space="preserve">Despite written requests from the Claimant for assistance in connection with the renewal of the Clearances referred to in sub-paragraphs 12(1) and 12(2) above [dates?], the Respondent has rendered no assistance to the Claimant in connection with the renewal and/or the grant of those Clearances. </w:t>
      </w:r>
    </w:p>
    <w:p>
      <w:pPr>
        <w:pStyle w:val="1LevelPara"/>
        <w:numPr>
          <w:ilvl w:val="0"/>
          <w:numId w:val="0"/>
        </w:numPr>
        <w:ind w:hanging="0" w:start="720" w:end="0"/>
        <w:rPr/>
      </w:pPr>
      <w:r>
        <w:rPr/>
        <w:t>(5)</w:t>
        <w:tab/>
        <w:t>The Respondent has given directions to and/or has counselled and procured the MPCB, through its officers, to delay or to withhold the Clearances to which the Claimant is properly entitled and/or to purport impose requirements for Clearances which the MPCB was not entitled in law to impose, alternatively has counselled or procured the MPCB to like effect.</w:t>
      </w:r>
    </w:p>
    <w:p>
      <w:pPr>
        <w:pStyle w:val="1LevelPara"/>
        <w:numPr>
          <w:ilvl w:val="0"/>
          <w:numId w:val="0"/>
        </w:numPr>
        <w:ind w:hanging="0" w:start="720" w:end="0"/>
        <w:rPr/>
      </w:pPr>
      <w:r>
        <w:rPr/>
        <w:t>(6)</w:t>
        <w:tab/>
        <w:t>In public meetings held at ● on 11</w:t>
      </w:r>
      <w:r>
        <w:rPr>
          <w:vertAlign w:val="superscript"/>
        </w:rPr>
        <w:t>th</w:t>
      </w:r>
      <w:r>
        <w:rPr/>
        <w:t xml:space="preserve"> March 2001, the Chief Minister of the Respondent announced that he had directed the MPCB to establish a task force with a view to scrutinising and investigating the operations of the Power Station. The Chief Minister justified his directions to the MPCB on the basis that complaints of air and water pollution from the Power Station had been received and required investigation. The Claimant has been told by the MPCB official that the officers of the MPCB understood (as had been intended) that they were to carry out investigations at the Power Station and to discover any facts or matters there which might be used in order to justify the MPCB in exercising its statutory powers to require generating operations at the Power Station to cease. No other private sector power station operator in the State of Maharashtra has been subject to any such investigative process on the part of the MPCB nor has any such investigative process been personally directed by a Chief Minister of the Respondent on any prior occasion. Further, and in any event, the Chief Minister of the Respondent has no proper or lawful right to seek direct or to influence the manner in which the MPCB discharges its statutory duties.</w:t>
      </w:r>
    </w:p>
    <w:p>
      <w:pPr>
        <w:pStyle w:val="Recitals"/>
        <w:numPr>
          <w:ilvl w:val="0"/>
          <w:numId w:val="0"/>
        </w:numPr>
        <w:ind w:firstLine="720" w:start="-720" w:end="0"/>
        <w:rPr>
          <w:b w:val="false"/>
        </w:rPr>
      </w:pPr>
      <w:r>
        <w:rPr>
          <w:b w:val="false"/>
        </w:rPr>
        <w:t>(f)</w:t>
        <w:tab/>
      </w:r>
      <w:r>
        <w:rPr>
          <w:b w:val="false"/>
          <w:u w:val="single"/>
        </w:rPr>
        <w:t>Breach of the GOM Obligation to Support the Project</w:t>
      </w:r>
    </w:p>
    <w:p>
      <w:pPr>
        <w:pStyle w:val="1LevelPara"/>
        <w:numPr>
          <w:ilvl w:val="0"/>
          <w:numId w:val="18"/>
        </w:numPr>
        <w:ind w:hanging="0" w:start="0"/>
        <w:rPr/>
      </w:pPr>
      <w:r>
        <w:rPr/>
        <w:t>(1)</w:t>
        <w:tab/>
        <w:t>In terms of the GOM Support Agreement and the Supplemental GOM Support Agreement, including (</w:t>
      </w:r>
      <w:r>
        <w:rPr>
          <w:i/>
        </w:rPr>
        <w:t>inter alia</w:t>
      </w:r>
      <w:r>
        <w:rPr/>
        <w:t>) Clause 2 of the GOM Supplement Agreement, the Respondent bound itself to support the development of Project, and, in particular, Phase II of the Project.</w:t>
      </w:r>
    </w:p>
    <w:p>
      <w:pPr>
        <w:pStyle w:val="1LevelPara"/>
        <w:numPr>
          <w:ilvl w:val="0"/>
          <w:numId w:val="0"/>
        </w:numPr>
        <w:ind w:hanging="0" w:start="720" w:end="0"/>
        <w:rPr/>
      </w:pPr>
      <w:r>
        <w:rPr/>
        <w:t>(2)</w:t>
        <w:tab/>
        <w:t>Contrary to its obligations under the GOM Support Agreement and the Supplemental GOM Support Agreement, the Respondent has acted in a manner which is wholly inconsistent with the obligations assumed by it thereunder. In particular (but without limitation), the actions taken by the Respondent and the statements made by Ministers and officials of the Respondent have involved the commission of persistent, serious and deliberate breaches of (</w:t>
      </w:r>
      <w:r>
        <w:rPr>
          <w:i/>
        </w:rPr>
        <w:t>inter alia</w:t>
      </w:r>
      <w:r>
        <w:rPr/>
        <w:t>) the Respondent’s obligation to lend support to the development of the Project.</w:t>
      </w:r>
    </w:p>
    <w:p>
      <w:pPr>
        <w:pStyle w:val="1LevelPara"/>
        <w:numPr>
          <w:ilvl w:val="0"/>
          <w:numId w:val="0"/>
        </w:numPr>
        <w:ind w:hanging="0" w:start="720" w:end="0"/>
        <w:rPr/>
      </w:pPr>
      <w:r>
        <w:rPr/>
        <w:t>(3)</w:t>
        <w:tab/>
        <w:t>The Claimant will refer to and reply upon the facts, matters and statements of the Ministers and officials of the Respondent recorded in the newspaper articles referred to in the Schedule hereto.</w:t>
      </w:r>
    </w:p>
    <w:p>
      <w:pPr>
        <w:pStyle w:val="1LevelPara"/>
        <w:numPr>
          <w:ilvl w:val="0"/>
          <w:numId w:val="0"/>
        </w:numPr>
        <w:ind w:hanging="0" w:start="720" w:end="0"/>
        <w:rPr/>
      </w:pPr>
      <w:r>
        <w:rPr/>
        <w:t>(4)</w:t>
        <w:tab/>
        <w:t>On 27</w:t>
      </w:r>
      <w:r>
        <w:rPr>
          <w:vertAlign w:val="superscript"/>
        </w:rPr>
        <w:t>th</w:t>
      </w:r>
      <w:r>
        <w:rPr/>
        <w:t xml:space="preserve"> March 2001 the Finance Minister of the Respondent made a speech to the Legislative Assembly for the State of Maharashtra. His speech (at paragraph 8.2 of the printed text) was to the following effect:-</w:t>
      </w:r>
    </w:p>
    <w:p>
      <w:pPr>
        <w:pStyle w:val="1LevelPara"/>
        <w:numPr>
          <w:ilvl w:val="0"/>
          <w:numId w:val="0"/>
        </w:numPr>
        <w:spacing w:lineRule="auto" w:line="240"/>
        <w:ind w:hanging="0" w:start="1440" w:end="0"/>
        <w:rPr>
          <w:i/>
          <w:i/>
        </w:rPr>
      </w:pPr>
      <w:r>
        <w:rPr>
          <w:i/>
        </w:rPr>
        <w:t>“</w:t>
      </w:r>
      <w:r>
        <w:rPr>
          <w:i/>
        </w:rPr>
        <w:t>8.2</w:t>
        <w:tab/>
        <w:t>The phase-I of the Dabhol Power Company (DPC) project entails a monthly fixed charged of Rs. 95 crore. After the commissioning of the phase-II in the year 2001-02, MSEB will be required to pay at least Rs. 508 crore per month to Enron without drawing even a single unit of electricity. Clearly, this is an unsustainable burden for the MSEB. We have set up a Committee of several experts under the Chairmanship of Dr. Madhav Godbole, former Union Home Secretary, to look into various aspects of this project and to renegotiate the contract. We have also requested the Central Government to take over the entire project directly or through its undertakings. We must, cutting across all party lines, try to find a solution to this problem, keeping in view the immediate and long-term interests of the State.”</w:t>
      </w:r>
    </w:p>
    <w:p>
      <w:pPr>
        <w:pStyle w:val="1LevelPara"/>
        <w:numPr>
          <w:ilvl w:val="0"/>
          <w:numId w:val="0"/>
        </w:numPr>
        <w:ind w:hanging="0" w:start="720" w:end="0"/>
        <w:rPr/>
      </w:pPr>
      <w:r>
        <w:rPr/>
        <w:t>The Claimant will say that those members and remarks and matters referred to by the Finance Minister were entirely inconsistent with the Respondent’s obligation to lend support to the development of the Project.</w:t>
      </w:r>
    </w:p>
    <w:p>
      <w:pPr>
        <w:pStyle w:val="Recitals"/>
        <w:numPr>
          <w:ilvl w:val="0"/>
          <w:numId w:val="0"/>
        </w:numPr>
        <w:ind w:firstLine="720" w:start="-720" w:end="0"/>
        <w:rPr>
          <w:b w:val="false"/>
        </w:rPr>
      </w:pPr>
      <w:r>
        <w:rPr>
          <w:b w:val="false"/>
        </w:rPr>
        <w:t>(g)</w:t>
        <w:tab/>
      </w:r>
      <w:r>
        <w:rPr>
          <w:b w:val="false"/>
          <w:u w:val="single"/>
        </w:rPr>
        <w:t>Consequences of the GOM’s Breaches</w:t>
      </w:r>
    </w:p>
    <w:p>
      <w:pPr>
        <w:pStyle w:val="1LevelPara"/>
        <w:numPr>
          <w:ilvl w:val="0"/>
          <w:numId w:val="18"/>
        </w:numPr>
        <w:ind w:hanging="0" w:start="0"/>
        <w:rPr/>
      </w:pPr>
      <w:r>
        <w:rPr/>
        <w:t>(1)</w:t>
        <w:tab/>
        <w:t>On or about ● March 2001 the Claimant was informed by the Lenders that no further funds would be advanced by them under the Financing Agreements for Phase II of the Project. [particulars/details please of who, when and how; can we say that we are in default? by what provisions? Note: I wish to set up grounds under Cl. 17.4(d) of the PPA; in addition, damages.]</w:t>
      </w:r>
    </w:p>
    <w:p>
      <w:pPr>
        <w:pStyle w:val="1LevelPara"/>
        <w:numPr>
          <w:ilvl w:val="0"/>
          <w:numId w:val="0"/>
        </w:numPr>
        <w:ind w:hanging="0" w:start="720" w:end="0"/>
        <w:rPr/>
      </w:pPr>
      <w:r>
        <w:rPr/>
        <w:t>(2)</w:t>
        <w:tab/>
        <w:t>As at the date referred to in sub-paragraph 14(1) above, the Claimant owed U.S.$● to the Contractor on account of construction work and equipment procurement activities carried out. On ● March 2001 the Contractor served a notice preliminary to the termination of the Phase II Construction Contracts. Further, on or about ● April 2001, the Contractor informed the Claimant that it had begun to demobilise its workforce and equipment at the Power Station Site and the LNG Facility Site.</w:t>
      </w:r>
    </w:p>
    <w:p>
      <w:pPr>
        <w:pStyle w:val="Recitals"/>
        <w:numPr>
          <w:ilvl w:val="0"/>
          <w:numId w:val="0"/>
        </w:numPr>
        <w:ind w:firstLine="720" w:start="-720" w:end="0"/>
        <w:rPr>
          <w:b w:val="false"/>
        </w:rPr>
      </w:pPr>
      <w:r>
        <w:rPr>
          <w:b w:val="false"/>
        </w:rPr>
        <w:t>(2)</w:t>
        <w:tab/>
      </w:r>
      <w:r>
        <w:rPr>
          <w:b w:val="false"/>
          <w:u w:val="single"/>
        </w:rPr>
        <w:t>Disputes Referred to Arbitration</w:t>
      </w:r>
    </w:p>
    <w:p>
      <w:pPr>
        <w:pStyle w:val="1LevelPara"/>
        <w:numPr>
          <w:ilvl w:val="0"/>
          <w:numId w:val="18"/>
        </w:numPr>
        <w:ind w:hanging="1440" w:start="1440" w:end="0"/>
        <w:rPr/>
      </w:pPr>
      <w:r>
        <w:rPr/>
        <w:t>(1)</w:t>
        <w:tab/>
        <w:t>All and each of the disputes and differences which have arisen (directly or indirectly) between the Claimant and the Respondent out of or in connection with the facts or matters set out or referred to in paragraphs 7 to 14 above and/or in the events which have occurred, as also set out in paragraphs 7 to 14 above.</w:t>
      </w:r>
    </w:p>
    <w:p>
      <w:pPr>
        <w:pStyle w:val="1LevelPara"/>
        <w:numPr>
          <w:ilvl w:val="0"/>
          <w:numId w:val="0"/>
        </w:numPr>
        <w:ind w:hanging="720" w:start="1440" w:end="0"/>
        <w:rPr/>
      </w:pPr>
      <w:r>
        <w:rPr/>
        <w:t>(2)</w:t>
        <w:tab/>
        <w:t>(a)</w:t>
        <w:tab/>
        <w:t>Without limitation to the generality of sub-paragraph 15(1) above whether (a) by reason of the facts or matters set out or referred to in paragraphs 7 to 14 above, (b) the events which have occurred, as also set out paragraphs 7 to 14 above and/or (c) by reference to such other facts or matters set out in the Claimant’s Statement of Claim to be served herein under Article 18 of the UNCITRAL Arbitration Rules, the Respondent has committed breaches (</w:t>
      </w:r>
      <w:r>
        <w:rPr>
          <w:i/>
        </w:rPr>
        <w:t>inter alia</w:t>
      </w:r>
      <w:r>
        <w:rPr/>
        <w:t>) of the obligations owed by it to the Claimant (for itself and as a trustee for the foreign Investors and the Lenders) arising under or out of (</w:t>
      </w:r>
      <w:r>
        <w:rPr>
          <w:i/>
        </w:rPr>
        <w:t>inter alia</w:t>
      </w:r>
      <w:r>
        <w:rPr/>
        <w:t>) Clauses 3.1, 3.2, 3.3, 6.2 and 6.3 of the GOM Support Agreement and Clause 2.2 of the Supplemental GOM Support Agreement.</w:t>
      </w:r>
    </w:p>
    <w:p>
      <w:pPr>
        <w:pStyle w:val="1LevelPara"/>
        <w:numPr>
          <w:ilvl w:val="0"/>
          <w:numId w:val="0"/>
        </w:numPr>
        <w:ind w:hanging="0" w:start="1440" w:end="0"/>
        <w:rPr/>
      </w:pPr>
      <w:r>
        <w:rPr/>
        <w:t>(b)</w:t>
        <w:tab/>
        <w:t>The Claimant will contend that the Respondent has committed breaches of Clauses 3.1, 3.2, 3.3, 6.2 and 6.3 of the GOM Support Agreement and Clause 2.2 of the Supplemental GOM Support Agreement.</w:t>
      </w:r>
    </w:p>
    <w:p>
      <w:pPr>
        <w:pStyle w:val="1LevelPara"/>
        <w:numPr>
          <w:ilvl w:val="0"/>
          <w:numId w:val="0"/>
        </w:numPr>
        <w:ind w:hanging="0" w:start="720" w:end="0"/>
        <w:rPr/>
      </w:pPr>
      <w:r>
        <w:rPr/>
        <w:t>(3)</w:t>
        <w:tab/>
        <w:t>The respective rights and obligations of the parties under the GOM Support Agreement and the Supplemental GOM Support Agreement.</w:t>
      </w:r>
    </w:p>
    <w:p>
      <w:pPr>
        <w:pStyle w:val="1LevelPara"/>
        <w:numPr>
          <w:ilvl w:val="0"/>
          <w:numId w:val="0"/>
        </w:numPr>
        <w:ind w:hanging="0" w:start="720" w:end="0"/>
        <w:rPr/>
      </w:pPr>
      <w:r>
        <w:rPr/>
        <w:t>(4)</w:t>
        <w:tab/>
        <w:t>The damages to which the Claimant is entitled as against the Respondent by reason of the breaches of the GOM Support Agreement and the Supplemental GOM Support Agreement committed by the Respondent.</w:t>
      </w:r>
    </w:p>
    <w:p>
      <w:pPr>
        <w:pStyle w:val="Recitals"/>
        <w:numPr>
          <w:ilvl w:val="0"/>
          <w:numId w:val="0"/>
        </w:numPr>
        <w:ind w:firstLine="720" w:start="-720" w:end="0"/>
        <w:rPr>
          <w:b w:val="false"/>
        </w:rPr>
      </w:pPr>
      <w:r>
        <w:rPr>
          <w:b w:val="false"/>
        </w:rPr>
        <w:t>(3)</w:t>
        <w:tab/>
      </w:r>
      <w:r>
        <w:rPr>
          <w:b w:val="false"/>
          <w:u w:val="single"/>
        </w:rPr>
        <w:t>General Nature of the Claim</w:t>
      </w:r>
    </w:p>
    <w:p>
      <w:pPr>
        <w:pStyle w:val="1LevelPara"/>
        <w:numPr>
          <w:ilvl w:val="0"/>
          <w:numId w:val="18"/>
        </w:numPr>
        <w:ind w:hanging="0" w:start="0"/>
        <w:rPr/>
      </w:pPr>
      <w:r>
        <w:rPr/>
        <w:t>(1)</w:t>
        <w:tab/>
        <w:t>The Claimant claims declarations as follows:</w:t>
      </w:r>
    </w:p>
    <w:p>
      <w:pPr>
        <w:pStyle w:val="1LevelPara"/>
        <w:numPr>
          <w:ilvl w:val="0"/>
          <w:numId w:val="0"/>
        </w:numPr>
        <w:ind w:hanging="0" w:start="1440" w:end="0"/>
        <w:rPr/>
      </w:pPr>
      <w:r>
        <w:rPr/>
        <w:t>(a)</w:t>
        <w:tab/>
        <w:t>that the GOM Support Agreement and the Supplementary GOM Support Agreement are valid in accordance with their respective terms and conditions and that the Respondent is unconditionally and irrevocably bound by the obligations which it has assumed under those agreements;</w:t>
      </w:r>
    </w:p>
    <w:p>
      <w:pPr>
        <w:pStyle w:val="1LevelPara"/>
        <w:numPr>
          <w:ilvl w:val="0"/>
          <w:numId w:val="0"/>
        </w:numPr>
        <w:ind w:hanging="0" w:start="1440" w:end="0"/>
        <w:rPr/>
      </w:pPr>
      <w:r>
        <w:rPr/>
        <w:t>(b)</w:t>
        <w:tab/>
        <w:t>as to the rights of the Claimant under the GOM Support Agreement and the Supplemental GOM Support Agreement and the obligations of the Respondent thereunder, including (without limitation) declarations as to Claimant’s rights and the Respondents obligations under or pursuant to GOM Support Agreement and the Supplemental GOM Support Agreement the with respect to the matters in issue in the Disputes as set out and described in paragraph 15 above and the events which have occurred;</w:t>
      </w:r>
    </w:p>
    <w:p>
      <w:pPr>
        <w:pStyle w:val="1LevelPara"/>
        <w:numPr>
          <w:ilvl w:val="0"/>
          <w:numId w:val="0"/>
        </w:numPr>
        <w:ind w:hanging="0" w:start="1440" w:end="0"/>
        <w:rPr/>
      </w:pPr>
      <w:r>
        <w:rPr/>
        <w:t>(c)</w:t>
        <w:tab/>
        <w:t>that the Respondent is in default of its obligations under the GOM Support Agreement.</w:t>
      </w:r>
    </w:p>
    <w:p>
      <w:pPr>
        <w:pStyle w:val="1LevelPara"/>
        <w:numPr>
          <w:ilvl w:val="0"/>
          <w:numId w:val="0"/>
        </w:numPr>
        <w:ind w:hanging="0" w:start="720" w:end="0"/>
        <w:rPr/>
      </w:pPr>
      <w:r>
        <w:rPr/>
        <w:t>(2)</w:t>
        <w:tab/>
        <w:t>The Claimant claims the specific performance by the Respondent of each and every of the obligations imposed upon it under the GOM Support Agreement and the Supplemental GOM Support Agreement (as set out in the declarations to be sought by the Claimant) and an order that the Respondent forthwith performs in full, punctually and strictly in accordance with their respective terms and conditions, all such obligations.</w:t>
      </w:r>
    </w:p>
    <w:p>
      <w:pPr>
        <w:pStyle w:val="Recitals"/>
        <w:keepNext w:val="false"/>
        <w:numPr>
          <w:ilvl w:val="0"/>
          <w:numId w:val="0"/>
        </w:numPr>
        <w:spacing w:before="0" w:after="140"/>
        <w:ind w:hanging="0" w:start="720" w:end="0"/>
        <w:rPr>
          <w:b w:val="false"/>
        </w:rPr>
      </w:pPr>
      <w:r>
        <w:rPr>
          <w:b w:val="false"/>
        </w:rPr>
        <w:t>(3)</w:t>
        <w:tab/>
        <w:t xml:space="preserve">The Claimant claims damages for the losses sustained by it by reason of the breaches of the GOM Support Agreement and the Supplemental GOM Support Agreement committed by the Respondent including (without limitation) breaches Clauses 3.1, 3.2, 3.3, 6.2 and 6.3 of the GOM Support Agreement and Clause 2.2 of the Supplemental GOM Support Agreement. </w:t>
      </w:r>
    </w:p>
    <w:p>
      <w:pPr>
        <w:pStyle w:val="Recitals"/>
        <w:keepNext w:val="false"/>
        <w:numPr>
          <w:ilvl w:val="0"/>
          <w:numId w:val="0"/>
        </w:numPr>
        <w:spacing w:before="0" w:after="140"/>
        <w:ind w:hanging="0" w:start="720" w:end="0"/>
        <w:rPr>
          <w:b w:val="false"/>
        </w:rPr>
      </w:pPr>
      <w:r>
        <w:rPr>
          <w:b w:val="false"/>
        </w:rPr>
        <w:t>(4)</w:t>
        <w:tab/>
        <w:t>The Claimant claims interim measures of protection pursuant to Article 26 of the UNCITRAL Arbitration Rules restraining the Respondent from doing or committing any act inconsistent with the obligations which it has assumed pursuant to the GOM Support Agreement and the Supplemental GOM Support Agreement. [query this, given the ultimate objective]</w:t>
      </w:r>
    </w:p>
    <w:p>
      <w:pPr>
        <w:pStyle w:val="Recitals"/>
        <w:numPr>
          <w:ilvl w:val="0"/>
          <w:numId w:val="0"/>
        </w:numPr>
        <w:ind w:firstLine="720" w:start="-720" w:end="0"/>
        <w:rPr>
          <w:b w:val="false"/>
        </w:rPr>
      </w:pPr>
      <w:r>
        <w:rPr>
          <w:b w:val="false"/>
        </w:rPr>
        <w:t>(4)</w:t>
        <w:tab/>
      </w:r>
      <w:r>
        <w:rPr>
          <w:b w:val="false"/>
          <w:u w:val="single"/>
        </w:rPr>
        <w:t>Amount of the Claim</w:t>
      </w:r>
    </w:p>
    <w:p>
      <w:pPr>
        <w:pStyle w:val="1LevelPara"/>
        <w:numPr>
          <w:ilvl w:val="0"/>
          <w:numId w:val="18"/>
        </w:numPr>
        <w:ind w:hanging="0" w:start="0" w:end="0"/>
        <w:rPr/>
      </w:pPr>
      <w:r>
        <w:rPr/>
        <w:t>The amount of the Claimant’s claim for damages is a sum in excess of U.S.$50,000,000.</w:t>
      </w:r>
    </w:p>
    <w:p>
      <w:pPr>
        <w:pStyle w:val="Recitals"/>
        <w:numPr>
          <w:ilvl w:val="0"/>
          <w:numId w:val="0"/>
        </w:numPr>
        <w:ind w:firstLine="720" w:start="-720" w:end="0"/>
        <w:rPr>
          <w:b w:val="false"/>
        </w:rPr>
      </w:pPr>
      <w:r>
        <w:rPr>
          <w:b w:val="false"/>
        </w:rPr>
        <w:t>(5)</w:t>
        <w:tab/>
      </w:r>
      <w:r>
        <w:rPr>
          <w:b w:val="false"/>
          <w:u w:val="single"/>
        </w:rPr>
        <w:t>Relief or Remedy Sought by the Claimant</w:t>
      </w:r>
    </w:p>
    <w:p>
      <w:pPr>
        <w:pStyle w:val="1LevelPara"/>
        <w:numPr>
          <w:ilvl w:val="0"/>
          <w:numId w:val="18"/>
        </w:numPr>
        <w:ind w:hanging="0" w:start="0"/>
        <w:rPr/>
      </w:pPr>
      <w:r>
        <w:rPr/>
        <w:t>(1)</w:t>
        <w:tab/>
        <w:t>declarations as to the rights of the Claimant under the GOI Guarantee and the obligations of the Respondent thereunder in accordance with paragraph 16(1) above or otherwise;</w:t>
      </w:r>
    </w:p>
    <w:p>
      <w:pPr>
        <w:pStyle w:val="1LevelPara"/>
        <w:numPr>
          <w:ilvl w:val="0"/>
          <w:numId w:val="0"/>
        </w:numPr>
        <w:ind w:hanging="0" w:start="720" w:end="0"/>
        <w:rPr/>
      </w:pPr>
      <w:r>
        <w:rPr/>
        <w:t>(2)</w:t>
        <w:tab/>
        <w:t>specific performance by the Respondent in accordance with paragraph 16(2) above;</w:t>
      </w:r>
    </w:p>
    <w:p>
      <w:pPr>
        <w:pStyle w:val="1LevelPara"/>
        <w:numPr>
          <w:ilvl w:val="0"/>
          <w:numId w:val="0"/>
        </w:numPr>
        <w:ind w:hanging="0" w:start="720" w:end="0"/>
        <w:rPr/>
      </w:pPr>
      <w:r>
        <w:rPr/>
        <w:t>(3)</w:t>
        <w:tab/>
        <w:t>damages;</w:t>
      </w:r>
    </w:p>
    <w:p>
      <w:pPr>
        <w:pStyle w:val="1LevelPara"/>
        <w:numPr>
          <w:ilvl w:val="0"/>
          <w:numId w:val="0"/>
        </w:numPr>
        <w:ind w:hanging="0" w:start="720" w:end="0"/>
        <w:rPr/>
      </w:pPr>
      <w:r>
        <w:rPr/>
        <w:t>(4)</w:t>
        <w:tab/>
        <w:t>interim measures of protection in accordance with paragraph 16(4) above;</w:t>
      </w:r>
    </w:p>
    <w:p>
      <w:pPr>
        <w:pStyle w:val="1LevelPara"/>
        <w:numPr>
          <w:ilvl w:val="0"/>
          <w:numId w:val="0"/>
        </w:numPr>
        <w:ind w:hanging="0" w:start="720" w:end="0"/>
        <w:rPr/>
      </w:pPr>
      <w:r>
        <w:rPr/>
        <w:t>(5)</w:t>
        <w:tab/>
        <w:t>further or other relief;</w:t>
      </w:r>
    </w:p>
    <w:p>
      <w:pPr>
        <w:pStyle w:val="1LevelPara"/>
        <w:numPr>
          <w:ilvl w:val="0"/>
          <w:numId w:val="0"/>
        </w:numPr>
        <w:ind w:hanging="0" w:start="720" w:end="0"/>
        <w:rPr/>
      </w:pPr>
      <w:r>
        <w:rPr/>
        <w:t>(4)</w:t>
        <w:tab/>
        <w:t>the costs of and occasioned by these arbitral proceedings.</w:t>
      </w:r>
    </w:p>
    <w:p>
      <w:pPr>
        <w:pStyle w:val="Recitals"/>
        <w:numPr>
          <w:ilvl w:val="0"/>
          <w:numId w:val="3"/>
        </w:numPr>
        <w:ind w:hanging="0" w:start="0"/>
        <w:rPr/>
      </w:pPr>
      <w:r>
        <w:rPr>
          <w:u w:val="single"/>
        </w:rPr>
        <w:t>Number of and Nationality of the Arbitrators</w:t>
      </w:r>
    </w:p>
    <w:p>
      <w:pPr>
        <w:pStyle w:val="1LevelPara"/>
        <w:numPr>
          <w:ilvl w:val="0"/>
          <w:numId w:val="18"/>
        </w:numPr>
        <w:ind w:hanging="0" w:start="0"/>
        <w:rPr/>
      </w:pPr>
      <w:r>
        <w:rPr/>
        <w:t>(1)</w:t>
        <w:tab/>
        <w:t>The parties have previously agreed, pursuant to Clauses 11.1 to 11.3 of the GOM Support Agreement and to Clause 5.2 of the Supplemental GOM Support Agreement, that the number of arbitrators shall be three.</w:t>
      </w:r>
    </w:p>
    <w:p>
      <w:pPr>
        <w:pStyle w:val="1LevelPara"/>
        <w:numPr>
          <w:ilvl w:val="0"/>
          <w:numId w:val="0"/>
        </w:numPr>
        <w:ind w:hanging="0" w:start="720" w:end="0"/>
        <w:rPr/>
      </w:pPr>
      <w:r>
        <w:rPr/>
        <w:t>(2)</w:t>
        <w:tab/>
        <w:t>The parties have further previously agreed, pursuant to the provisions of the GOM Support Agreement and the Supplemental GOM Support Agreement, that no arbitrator shall be a national of India or of the United States of America.</w:t>
      </w:r>
    </w:p>
    <w:p>
      <w:pPr>
        <w:pStyle w:val="Recitals"/>
        <w:numPr>
          <w:ilvl w:val="0"/>
          <w:numId w:val="3"/>
        </w:numPr>
        <w:ind w:hanging="0" w:start="0"/>
        <w:rPr/>
      </w:pPr>
      <w:r>
        <w:rPr>
          <w:u w:val="single"/>
        </w:rPr>
        <w:t>Appointment of Arbitrator by the Claimant</w:t>
      </w:r>
    </w:p>
    <w:p>
      <w:pPr>
        <w:pStyle w:val="1LevelPara"/>
        <w:numPr>
          <w:ilvl w:val="0"/>
          <w:numId w:val="18"/>
        </w:numPr>
        <w:ind w:hanging="0" w:start="0" w:end="0"/>
        <w:rPr/>
      </w:pPr>
      <w:r>
        <w:rPr/>
        <w:t>The Claimant notifies the Respondent that, in each of the references to arbitration begun in terms of this Notice of Arbitration, the Claimant has appointed the person named below as an arbitrator in accordance with Article 7 of the UNCITRAL Arbitration Rules:</w:t>
      </w:r>
    </w:p>
    <w:p>
      <w:pPr>
        <w:pStyle w:val="1LevelPara"/>
        <w:numPr>
          <w:ilvl w:val="0"/>
          <w:numId w:val="0"/>
        </w:numPr>
        <w:ind w:hanging="0" w:start="720" w:end="0"/>
        <w:rPr/>
      </w:pPr>
      <w:r>
        <w:rPr/>
        <w:t>The Honourable Andrew John Rogers Q.C. (formerly Chief Judge of the Commercial Division of the Supreme Court of New South Wales) of Level 7, 233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Appoint an Arbitrator</w:t>
      </w:r>
    </w:p>
    <w:p>
      <w:pPr>
        <w:pStyle w:val="1LevelPara"/>
        <w:numPr>
          <w:ilvl w:val="0"/>
          <w:numId w:val="18"/>
        </w:numPr>
        <w:ind w:hanging="0" w:start="0" w:end="0"/>
        <w:rPr/>
      </w:pPr>
      <w:r>
        <w:rPr/>
        <w:t xml:space="preserve">The Claimant calls upon the Respondent to appoint an arbitrator, in each of the references to arbitration begun in terms of this Notice of Arbitration, within a period of thirty days. The Claimant calls to the attention of the Respondent the provisions of Article 7 of the UNCITRAL Arbitration Rules with respect to the appointment by the Respondent of an arbitrator and to the procedures available to the Claimant in the event that the Respondent has not within thirty days after the receipt of this Notice of Arbitration appointed an arbitrator. </w:t>
      </w:r>
    </w:p>
    <w:p>
      <w:pPr>
        <w:pStyle w:val="1LevelPara"/>
        <w:numPr>
          <w:ilvl w:val="0"/>
          <w:numId w:val="0"/>
        </w:numPr>
        <w:spacing w:lineRule="auto" w:line="240" w:before="0" w:after="0"/>
        <w:ind w:hanging="0" w:start="0"/>
        <w:rPr/>
      </w:pPr>
      <w:r>
        <w:rPr/>
      </w:r>
    </w:p>
    <w:p>
      <w:pPr>
        <w:pStyle w:val="1LevelPara"/>
        <w:numPr>
          <w:ilvl w:val="0"/>
          <w:numId w:val="0"/>
        </w:numPr>
        <w:spacing w:lineRule="auto" w:line="240" w:before="0" w:after="0"/>
        <w:ind w:hanging="0" w:start="0"/>
        <w:rPr/>
      </w:pPr>
      <w:r>
        <w:rPr/>
      </w:r>
    </w:p>
    <w:p>
      <w:pPr>
        <w:pStyle w:val="1LevelPara"/>
        <w:numPr>
          <w:ilvl w:val="0"/>
          <w:numId w:val="0"/>
        </w:numPr>
        <w:ind w:hanging="0" w:start="0"/>
        <w:rPr>
          <w:b/>
        </w:rPr>
      </w:pPr>
      <w:r>
        <w:rPr>
          <w:b/>
        </w:rPr>
        <w:t>For and on behalf of the Dabhol Power Company:</w:t>
      </w:r>
    </w:p>
    <w:p>
      <w:pPr>
        <w:pStyle w:val="1LevelPara"/>
        <w:numPr>
          <w:ilvl w:val="0"/>
          <w:numId w:val="0"/>
        </w:numPr>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r>
      <w:r>
        <w:rPr>
          <w:rFonts w:eastAsia="Symbol" w:cs="Symbol" w:ascii="Symbol" w:hAnsi="Symbol"/>
        </w:rPr>
        <w:sym w:font="Symbol" w:char="f0b7"/>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w:t>
      </w:r>
      <w:r>
        <w:rPr>
          <w:rFonts w:eastAsia="Symbol" w:cs="Symbol" w:ascii="Symbol" w:hAnsi="Symbol"/>
        </w:rPr>
        <w:sym w:font="Symbol" w:char="f0b7"/>
      </w:r>
      <w:r>
        <w:rPr/>
        <w:t xml:space="preserve"> day of April 2001 by Messrs Linklaters of Alexandra House (10</w:t>
      </w:r>
      <w:r>
        <w:rPr>
          <w:vertAlign w:val="superscript"/>
        </w:rPr>
        <w:t>th</w:t>
      </w:r>
      <w:r>
        <w:rPr/>
        <w:t xml:space="preserve"> floor), 16-20 Chater Road, Central, Hong Kong, Solicitors for the Claimant.</w:t>
      </w:r>
      <w:r>
        <w:br w:type="page"/>
      </w:r>
    </w:p>
    <w:p>
      <w:pPr>
        <w:pStyle w:val="Heading1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11.</w:t>
        <w:tab/>
        <w:t>Arbitration</w:t>
      </w:r>
    </w:p>
    <w:p>
      <w:pPr>
        <w:pStyle w:val="1LevelPara"/>
        <w:numPr>
          <w:ilvl w:val="0"/>
          <w:numId w:val="0"/>
        </w:numPr>
        <w:spacing w:lineRule="auto" w:line="240"/>
        <w:ind w:hanging="0" w:start="0"/>
        <w:rPr>
          <w:i/>
          <w:i/>
        </w:rPr>
      </w:pPr>
      <w:r>
        <w:rPr>
          <w:i/>
        </w:rPr>
        <w:t>11.1</w:t>
        <w:tab/>
        <w:t>Reference to arbitration</w:t>
      </w:r>
    </w:p>
    <w:p>
      <w:pPr>
        <w:pStyle w:val="1LevelPara"/>
        <w:numPr>
          <w:ilvl w:val="0"/>
          <w:numId w:val="0"/>
        </w:numPr>
        <w:spacing w:lineRule="auto" w:line="240"/>
        <w:ind w:hanging="0" w:start="0"/>
        <w:rPr>
          <w:i/>
          <w:i/>
        </w:rPr>
      </w:pPr>
      <w:r>
        <w:rPr>
          <w:i/>
        </w:rPr>
        <w:t>(a)</w:t>
        <w:tab/>
        <w:t>Any dispute or differences (each a “dispute”) arising out of or in connection with this Agreement shall (regardless of the nature of the dispute) be referred to arbitration in accordance with the provisions of the UNCITRAL Arbitration Rules (i.e. the Arbitration Rules of the United Nations Commission on International Trade Law set out in Resolution 31/98 adopted by the General Assembly on 15 December 1976 and referred to herein as “the Rules” as at present in force by a panel of three arbitrators (or such lesser number as the parties may agree) appointed in accordance with the Rules.</w:t>
      </w:r>
    </w:p>
    <w:p>
      <w:pPr>
        <w:pStyle w:val="1LevelPara"/>
        <w:numPr>
          <w:ilvl w:val="0"/>
          <w:numId w:val="0"/>
        </w:numPr>
        <w:spacing w:lineRule="auto" w:line="240"/>
        <w:ind w:hanging="0" w:start="0"/>
        <w:rPr>
          <w:i/>
          <w:i/>
        </w:rPr>
      </w:pPr>
      <w:r>
        <w:rPr>
          <w:i/>
        </w:rPr>
        <w:t>(b)</w:t>
        <w:tab/>
        <w:t>Where the Rules do not deal with any issue arising in connection with the conduct and or procedure of the arbitration such issue shall be resolved in accordance with the law of the place in which the arbitrator is held.</w:t>
      </w:r>
    </w:p>
    <w:p>
      <w:pPr>
        <w:pStyle w:val="1LevelPara"/>
        <w:numPr>
          <w:ilvl w:val="0"/>
          <w:numId w:val="0"/>
        </w:numPr>
        <w:spacing w:lineRule="auto" w:line="240"/>
        <w:ind w:hanging="0" w:start="0"/>
        <w:rPr>
          <w:i/>
          <w:i/>
        </w:rPr>
      </w:pPr>
      <w:r>
        <w:rPr>
          <w:i/>
        </w:rPr>
        <w:t>(c)</w:t>
        <w:tab/>
        <w:t>The New York Convention on the Recognition and Enforcement of Foreign Arbitral Awards (“the Convention”) shall apply to any award resulting from an arbitration pursuant to this Clause and any such award shall for the purposes of the Convention, the laws of India and the laws of any other country in which the recognition and/or enforcement of the award may be sought, be treated as relating to a dispute or disputes arising out of a commercial legal relationship and not as domestic award.</w:t>
      </w:r>
    </w:p>
    <w:p>
      <w:pPr>
        <w:pStyle w:val="1LevelPara"/>
        <w:numPr>
          <w:ilvl w:val="0"/>
          <w:numId w:val="0"/>
        </w:numPr>
        <w:spacing w:lineRule="auto" w:line="240"/>
        <w:ind w:hanging="0" w:start="0"/>
        <w:rPr>
          <w:i/>
          <w:i/>
        </w:rPr>
      </w:pPr>
      <w:r>
        <w:rPr>
          <w:i/>
        </w:rPr>
        <w:t>(d)</w:t>
        <w:tab/>
        <w:t>Any dispute arising after the date on which no amount is owed or capable of being owed to the lenders under the relevant Financing Agreements shall be finally settled by arbitration under the Arbitration Acts of India.</w:t>
      </w:r>
    </w:p>
    <w:p>
      <w:pPr>
        <w:pStyle w:val="1LevelPara"/>
        <w:numPr>
          <w:ilvl w:val="0"/>
          <w:numId w:val="0"/>
        </w:numPr>
        <w:spacing w:lineRule="auto" w:line="240"/>
        <w:ind w:hanging="0" w:start="0"/>
        <w:rPr>
          <w:i/>
          <w:i/>
        </w:rPr>
      </w:pPr>
      <w:r>
        <w:rPr>
          <w:i/>
        </w:rPr>
        <w:t>(e)</w:t>
        <w:tab/>
        <w:t>Arbitration proceedings pursuant to paragraph (a) shall be held in London Arbitration proceedings conducted pursuant to paragraph (d) shall be held in New Delhi, India.</w:t>
      </w:r>
    </w:p>
    <w:p>
      <w:pPr>
        <w:pStyle w:val="1LevelPara"/>
        <w:numPr>
          <w:ilvl w:val="0"/>
          <w:numId w:val="0"/>
        </w:numPr>
        <w:spacing w:lineRule="auto" w:line="240"/>
        <w:ind w:hanging="0" w:start="0"/>
        <w:rPr>
          <w:i/>
          <w:i/>
        </w:rPr>
      </w:pPr>
      <w:r>
        <w:rPr>
          <w:i/>
        </w:rPr>
        <w:t>11.2</w:t>
        <w:tab/>
        <w:t>Nationality of arbitrator</w:t>
      </w:r>
    </w:p>
    <w:p>
      <w:pPr>
        <w:pStyle w:val="1LevelPara"/>
        <w:numPr>
          <w:ilvl w:val="0"/>
          <w:numId w:val="0"/>
        </w:numPr>
        <w:spacing w:lineRule="auto" w:line="240"/>
        <w:ind w:hanging="0" w:start="0"/>
        <w:rPr>
          <w:i/>
          <w:i/>
        </w:rPr>
      </w:pPr>
      <w:r>
        <w:rPr>
          <w:i/>
        </w:rPr>
        <w:tab/>
        <w:t>No arbitrator appointed pursuant to Clause 11.1 shall be a national of India or of the United States.</w:t>
      </w:r>
    </w:p>
    <w:p>
      <w:pPr>
        <w:pStyle w:val="1LevelPara"/>
        <w:numPr>
          <w:ilvl w:val="0"/>
          <w:numId w:val="0"/>
        </w:numPr>
        <w:spacing w:lineRule="auto" w:line="240"/>
        <w:ind w:hanging="0" w:start="0"/>
        <w:rPr>
          <w:i/>
          <w:i/>
        </w:rPr>
      </w:pPr>
      <w:r>
        <w:rPr>
          <w:i/>
        </w:rPr>
        <w:t>11.3</w:t>
        <w:tab/>
        <w:t>Language</w:t>
      </w:r>
    </w:p>
    <w:p>
      <w:pPr>
        <w:sectPr>
          <w:headerReference w:type="default" r:id="rId2"/>
          <w:footerReference w:type="default" r:id="rId3"/>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480"/>
        <w:ind w:hanging="0" w:start="0"/>
        <w:rPr/>
      </w:pPr>
      <w:r>
        <w:rPr>
          <w:i/>
        </w:rPr>
        <w:tab/>
        <w:t>The language of any arbitration under this  Clause shall be English.”</w:t>
      </w:r>
      <w:r>
        <w:rPr/>
        <w:t xml:space="preserve"> </w:t>
      </w:r>
      <w:r>
        <w:br w:type="page"/>
      </w:r>
    </w:p>
    <w:p>
      <w:pPr>
        <w:pStyle w:val="Heading10"/>
        <w:jc w:val="center"/>
        <w:rPr>
          <w:u w:val="single"/>
        </w:rPr>
      </w:pPr>
      <w:r>
        <w:rPr>
          <w:u w:val="single"/>
        </w:rPr>
        <w:t>Schedule</w:t>
      </w:r>
    </w:p>
    <w:p>
      <w:pPr>
        <w:pStyle w:val="Heading10"/>
        <w:jc w:val="center"/>
        <w:rPr>
          <w:u w:val="single"/>
        </w:rPr>
      </w:pPr>
      <w:r>
        <w:rPr>
          <w:u w:val="single"/>
        </w:rPr>
      </w:r>
    </w:p>
    <w:tbl>
      <w:tblPr>
        <w:tblW w:w="8520" w:type="dxa"/>
        <w:jc w:val="start"/>
        <w:tblInd w:w="0" w:type="dxa"/>
        <w:tblLayout w:type="fixed"/>
        <w:tblCellMar>
          <w:top w:w="0" w:type="dxa"/>
          <w:start w:w="108" w:type="dxa"/>
          <w:bottom w:w="0" w:type="dxa"/>
          <w:end w:w="108" w:type="dxa"/>
        </w:tblCellMar>
      </w:tblPr>
      <w:tblGrid>
        <w:gridCol w:w="1188"/>
        <w:gridCol w:w="2520"/>
        <w:gridCol w:w="4812"/>
      </w:tblGrid>
      <w:tr>
        <w:trPr>
          <w:tblHeader w:val="true"/>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b/>
              </w:rPr>
            </w:pPr>
            <w:r>
              <w:rPr>
                <w:b/>
              </w:rPr>
              <w:t>Date</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b/>
              </w:rPr>
            </w:pPr>
            <w:r>
              <w:rPr>
                <w:b/>
              </w:rPr>
              <w:t>Publication</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b/>
              </w:rPr>
            </w:pPr>
            <w:r>
              <w:rPr>
                <w:b/>
              </w:rPr>
              <w:t>Article Headline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17.11.00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review Dabhol power project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MSEB to review viability of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cannot solve State’s power problem but can create other problems”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Mid-day</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may scrap Enron’s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Pressure grows on state to scrap Dabhol II, junk PPA”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renegotiate Enron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to renegotiate power rates with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will ask Enron to lower power tariff”</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Expert moots ways to get out of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reviewing Enron deal”</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14.12.00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should oust Enron: Minister”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Asian Age</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to review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Threat to scrap Enron project real, says CM”</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9.1.01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Retd judge may head review panel on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make DPC wait it out for dues payment”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3.2.01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Times of India</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MSEB not in a position to buy power from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rejects move”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 xml:space="preserve">Central intervention in DPC issue must: Patil”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DPC invokes counter-guarantee for recovering dues from MSEB”</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Deshmukh throws his hands up”</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MPCB to probe DPC’s “violation” of norms”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State directs MPCB to probe into pollution complaint”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Prope DPC emission norms violation”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13.3.01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Sakal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gives indications of action against Enron for causing pollution”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Centre asked not to give counter guarantee to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Save State from Enron, Vilasrao prays Centre”</w:t>
            </w:r>
          </w:p>
        </w:tc>
      </w:tr>
    </w:tbl>
    <w:p>
      <w:pPr>
        <w:sectPr>
          <w:headerReference w:type="default" r:id="rId4"/>
          <w:headerReference w:type="first" r:id="rId5"/>
          <w:footerReference w:type="default" r:id="rId6"/>
          <w:footerReference w:type="first" r:id="rId7"/>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240" w:before="0" w:after="240"/>
        <w:ind w:hanging="720" w:start="720" w:end="0"/>
        <w:rPr/>
      </w:pPr>
      <w:r>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TWO ARBITRATIONS</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Claimant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STATE OF MAHARASHTRA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Claimant</w:t>
      </w:r>
    </w:p>
    <w:sectPr>
      <w:headerReference w:type="default" r:id="rId8"/>
      <w:headerReference w:type="first" r:id="rId9"/>
      <w:footerReference w:type="default" r:id="rId10"/>
      <w:footerReference w:type="first" r:id="rId11"/>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A01268421</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1.0a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05 Apr 2001</w:t>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15</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A01268421</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1.0a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05 Apr 2001</w:t>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17</w:t>
    </w:r>
    <w:r>
      <w:rPr>
        <w:rStyle w:val="PageNumber"/>
        <w:sz w:val="22"/>
        <w:rFonts w:cs="Times" w:ascii="Times" w:hAnsi="Times"/>
      </w:rPr>
      <w:fldChar w:fldCharType="end"/>
    </w:r>
    <w:r>
      <w:rPr>
        <w:rStyle w:val="PageNumber"/>
        <w:rFonts w:cs="Times" w:ascii="Times" w:hAnsi="Times"/>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A01268421</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1.0a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05 Apr 2001</w:t>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1"/>
    </w:rPr>
  </w:style>
  <w:style w:type="character" w:styleId="WW8Num9z1">
    <w:name w:val="WW8Num9z1"/>
    <w:qFormat/>
    <w:rPr>
      <w:rFonts w:ascii="Arial" w:hAnsi="Arial" w:cs="Arial"/>
      <w:b/>
      <w:i w:val="false"/>
      <w:sz w:val="20"/>
    </w:rPr>
  </w:style>
  <w:style w:type="character" w:styleId="WW8Num9z2">
    <w:name w:val="WW8Num9z2"/>
    <w:qFormat/>
    <w:rPr>
      <w:b/>
      <w:i w:val="false"/>
      <w:sz w:val="17"/>
    </w:rPr>
  </w:style>
  <w:style w:type="character" w:styleId="WW8Num10z0">
    <w:name w:val="WW8Num10z0"/>
    <w:qFormat/>
    <w:rPr>
      <w:rFonts w:ascii="Times" w:hAnsi="Times" w:cs="Times"/>
      <w:b/>
      <w:i w:val="false"/>
      <w:sz w:val="22"/>
    </w:rPr>
  </w:style>
  <w:style w:type="character" w:styleId="WW8Num11z0">
    <w:name w:val="WW8Num11z0"/>
    <w:qFormat/>
    <w:rPr>
      <w:rFonts w:ascii="Arial" w:hAnsi="Arial" w:cs="Arial"/>
      <w:b/>
      <w:i w:val="false"/>
      <w:sz w:val="20"/>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Arial" w:hAnsi="Arial" w:cs="Aria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i w:val="false"/>
    </w:rPr>
  </w:style>
  <w:style w:type="character" w:styleId="WW8Num17z0">
    <w:name w:val="WW8Num17z0"/>
    <w:qFormat/>
    <w:rPr>
      <w:rFonts w:ascii="Symbol" w:hAnsi="Symbol" w:cs="Symbol"/>
    </w:rPr>
  </w:style>
  <w:style w:type="character" w:styleId="WW8Num18z0">
    <w:name w:val="WW8Num18z0"/>
    <w:qFormat/>
    <w:rPr>
      <w:b/>
      <w:i w:val="false"/>
      <w:sz w:val="20"/>
    </w:rPr>
  </w:style>
  <w:style w:type="character" w:styleId="WW8Num19z0">
    <w:name w:val="WW8Num19z0"/>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2z0">
    <w:name w:val="WW8Num32z0"/>
    <w:qFormat/>
    <w:rPr>
      <w:rFonts w:ascii="Arial" w:hAnsi="Arial" w:cs="Arial"/>
      <w:b/>
      <w:i w:val="false"/>
      <w:sz w:val="22"/>
    </w:rPr>
  </w:style>
  <w:style w:type="character" w:styleId="WW8Num32z1">
    <w:name w:val="WW8Num32z1"/>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val="false"/>
      <w:i w:val="false"/>
      <w:sz w:val="20"/>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i w:val="false"/>
      <w:sz w:val="20"/>
    </w:rPr>
  </w:style>
  <w:style w:type="character" w:styleId="WW8Num38z1">
    <w:name w:val="WW8Num38z1"/>
    <w:qFormat/>
    <w:rPr>
      <w:rFonts w:ascii="Arial" w:hAnsi="Arial" w:cs="Arial"/>
      <w:b/>
      <w:i w:val="false"/>
      <w:sz w:val="19"/>
    </w:rPr>
  </w:style>
  <w:style w:type="character" w:styleId="WW8Num38z2">
    <w:name w:val="WW8Num38z2"/>
    <w:qFormat/>
    <w:rPr>
      <w:rFonts w:ascii="Arial" w:hAnsi="Arial" w:cs="Arial"/>
      <w:b w:val="false"/>
      <w:i w:val="false"/>
      <w:sz w:val="17"/>
    </w:rPr>
  </w:style>
  <w:style w:type="character" w:styleId="WW8Num39z0">
    <w:name w:val="WW8Num39z0"/>
    <w:qFormat/>
    <w:rPr>
      <w:rFonts w:ascii="Arial" w:hAnsi="Arial" w:cs="Arial"/>
      <w:b w:val="false"/>
      <w:i w:val="false"/>
      <w:sz w:val="20"/>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Symbol" w:hAnsi="Symbol" w:cs="Symbol"/>
    </w:rPr>
  </w:style>
  <w:style w:type="character" w:styleId="WW8Num49z0">
    <w:name w:val="WW8Num49z0"/>
    <w:qFormat/>
    <w:rPr>
      <w:rFonts w:ascii="Arial" w:hAnsi="Arial" w:cs="Arial"/>
      <w:b/>
      <w:i w:val="false"/>
      <w:sz w:val="22"/>
    </w:rPr>
  </w:style>
  <w:style w:type="character" w:styleId="WW8Num49z1">
    <w:name w:val="WW8Num49z1"/>
    <w:qFormat/>
    <w:rPr>
      <w:rFonts w:ascii="Arial" w:hAnsi="Arial" w:cs="Arial"/>
      <w:b/>
      <w:i w:val="false"/>
      <w:sz w:val="21"/>
    </w:rPr>
  </w:style>
  <w:style w:type="character" w:styleId="WW8Num49z2">
    <w:name w:val="WW8Num49z2"/>
    <w:qFormat/>
    <w:rPr>
      <w:rFonts w:ascii="Arial" w:hAnsi="Arial" w:cs="Arial"/>
      <w:b/>
      <w:i w:val="false"/>
      <w:sz w:val="17"/>
    </w:rPr>
  </w:style>
  <w:style w:type="character" w:styleId="WW8Num49z3">
    <w:name w:val="WW8Num49z3"/>
    <w:qFormat/>
    <w:rPr>
      <w:rFonts w:ascii="Arial" w:hAnsi="Arial" w:cs="Arial"/>
      <w:b w:val="false"/>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b/>
      <w:i w:val="false"/>
    </w:rPr>
  </w:style>
  <w:style w:type="character" w:styleId="WW8Num53z0">
    <w:name w:val="WW8Num53z0"/>
    <w:qFormat/>
    <w:rPr>
      <w:rFonts w:ascii="Symbol" w:hAnsi="Symbol" w:cs="Symbol"/>
      <w:b w:val="false"/>
      <w:i w:val="false"/>
      <w:sz w:val="20"/>
    </w:rPr>
  </w:style>
  <w:style w:type="character" w:styleId="WW8Num55z0">
    <w:name w:val="WW8Num55z0"/>
    <w:qFormat/>
    <w:rPr>
      <w:rFonts w:ascii="Arial" w:hAnsi="Arial" w:cs="Arial"/>
      <w:b w:val="false"/>
      <w:i w:val="false"/>
      <w:sz w:val="20"/>
    </w:rPr>
  </w:style>
  <w:style w:type="character" w:styleId="WW8Num58z0">
    <w:name w:val="WW8Num58z0"/>
    <w:qFormat/>
    <w:rPr>
      <w:rFonts w:ascii="Arial" w:hAnsi="Arial" w:cs="Arial"/>
      <w:b/>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Arial" w:hAnsi="Arial" w:cs="Arial"/>
      <w:b/>
      <w:i w:val="false"/>
      <w:sz w:val="21"/>
    </w:rPr>
  </w:style>
  <w:style w:type="character" w:styleId="WW8Num60z1">
    <w:name w:val="WW8Num60z1"/>
    <w:qFormat/>
    <w:rPr>
      <w:rFonts w:ascii="Arial" w:hAnsi="Arial" w:cs="Arial"/>
      <w:b/>
      <w:i w:val="false"/>
      <w:sz w:val="20"/>
    </w:rPr>
  </w:style>
  <w:style w:type="character" w:styleId="WW8Num60z2">
    <w:name w:val="WW8Num60z2"/>
    <w:qFormat/>
    <w:rPr>
      <w:rFonts w:ascii="Arial" w:hAnsi="Arial" w:cs="Arial"/>
      <w:b/>
      <w:i w:val="false"/>
      <w:sz w:val="17"/>
    </w:rPr>
  </w:style>
  <w:style w:type="character" w:styleId="WW8Num60z3">
    <w:name w:val="WW8Num60z3"/>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4z0">
    <w:name w:val="WW8Num64z0"/>
    <w:qFormat/>
    <w:rPr>
      <w:rFonts w:ascii="Arial" w:hAnsi="Arial" w:cs="Arial"/>
      <w:b w:val="false"/>
      <w:i w:val="false"/>
      <w:sz w:val="20"/>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308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2001-04-04T14:15:00Z</dcterms:created>
  <dc:creator>Any Authorised User</dc:creator>
  <dc:description/>
  <dc:language>en-CA</dc:language>
  <cp:lastModifiedBy>Any Authorised User</cp:lastModifiedBy>
  <cp:lastPrinted>2001-04-06T23:13:00Z</cp:lastPrinted>
  <dcterms:modified xsi:type="dcterms:W3CDTF">2001-04-06T13:35:00Z</dcterms:modified>
  <cp:revision>127</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A01268421</vt:lpwstr>
  </property>
  <property fmtid="{D5CDD505-2E9C-101B-9397-08002B2CF9AE}" pid="3" name="Last Modified">
    <vt:lpwstr>05 Apr 2001</vt:lpwstr>
  </property>
  <property fmtid="{D5CDD505-2E9C-101B-9397-08002B2CF9AE}" pid="4" name="Template Version">
    <vt:lpwstr>6.5a</vt:lpwstr>
  </property>
  <property fmtid="{D5CDD505-2E9C-101B-9397-08002B2CF9AE}" pid="5" name="Version">
    <vt:lpwstr>1.0a</vt:lpwstr>
  </property>
</Properties>
</file>