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0"/>
        <w:tabs>
          <w:tab w:val="clear" w:pos="720"/>
          <w:tab w:val="center" w:pos="4140" w:leader="none"/>
          <w:tab w:val="right" w:pos="8280" w:leader="none"/>
        </w:tabs>
        <w:spacing w:lineRule="auto" w:line="360" w:before="0" w:after="14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rPr>
          <w:u w:val="single"/>
        </w:rPr>
      </w:pPr>
      <w:r>
        <w:rPr>
          <w:u w:val="single"/>
        </w:rPr>
        <w:t>AND</w:t>
      </w:r>
    </w:p>
    <w:p>
      <w:pPr>
        <w:pStyle w:val="Heading10"/>
        <w:tabs>
          <w:tab w:val="clear" w:pos="720"/>
          <w:tab w:val="center" w:pos="4140" w:leader="none"/>
          <w:tab w:val="right" w:pos="8280" w:leader="none"/>
        </w:tabs>
        <w:spacing w:lineRule="auto" w:line="360" w:before="0" w:after="140"/>
        <w:rPr>
          <w:u w:val="single"/>
        </w:rPr>
      </w:pPr>
      <w:r>
        <w:rPr>
          <w:u w:val="single"/>
        </w:rPr>
        <w:t>IN THE MATTER OF TWO ARBITRATIONS</w:t>
        <w:br/>
        <w:t>(UNDER THE UNCITRAL ARBITRATION RULES)</w:t>
      </w:r>
    </w:p>
    <w:p>
      <w:pPr>
        <w:pStyle w:val="Heading10"/>
        <w:tabs>
          <w:tab w:val="left" w:pos="720" w:leader="none"/>
          <w:tab w:val="left" w:pos="1440" w:leader="none"/>
        </w:tabs>
        <w:spacing w:lineRule="auto" w:line="360"/>
        <w:jc w:val="center"/>
        <w:rPr>
          <w:u w:val="single"/>
        </w:rPr>
      </w:pPr>
      <w:r>
        <w:rPr>
          <w:u w:val="single"/>
        </w:rPr>
      </w:r>
    </w:p>
    <w:p>
      <w:pPr>
        <w:pStyle w:val="Heading10"/>
        <w:tabs>
          <w:tab w:val="left" w:pos="720" w:leader="none"/>
          <w:tab w:val="left" w:pos="1440" w:leader="none"/>
        </w:tabs>
        <w:spacing w:lineRule="auto" w:line="360"/>
        <w:rPr/>
      </w:pPr>
      <w:r>
        <w:rPr/>
        <w:t>BETWEEN:-</w:t>
      </w:r>
    </w:p>
    <w:p>
      <w:pPr>
        <w:pStyle w:val="Heading10"/>
        <w:tabs>
          <w:tab w:val="left" w:pos="720" w:leader="none"/>
          <w:tab w:val="left" w:pos="1440" w:leader="none"/>
        </w:tabs>
        <w:spacing w:lineRule="auto" w:line="360"/>
        <w:jc w:val="center"/>
        <w:rPr/>
      </w:pPr>
      <w:r>
        <w:rPr/>
        <w:t>DABHOL POWER COMPANY</w:t>
      </w:r>
    </w:p>
    <w:p>
      <w:pPr>
        <w:pStyle w:val="Heading10"/>
        <w:tabs>
          <w:tab w:val="left" w:pos="720" w:leader="none"/>
          <w:tab w:val="left" w:pos="1440" w:leader="none"/>
        </w:tabs>
        <w:spacing w:lineRule="auto" w:line="360" w:before="280" w:after="0"/>
        <w:jc w:val="end"/>
        <w:rPr>
          <w:u w:val="single"/>
        </w:rPr>
      </w:pPr>
      <w:r>
        <w:rPr>
          <w:u w:val="single"/>
        </w:rPr>
        <w:t>Claimant</w:t>
      </w:r>
    </w:p>
    <w:p>
      <w:pPr>
        <w:pStyle w:val="Heading10"/>
        <w:tabs>
          <w:tab w:val="left" w:pos="720" w:leader="none"/>
          <w:tab w:val="left" w:pos="1440" w:leader="none"/>
        </w:tabs>
        <w:spacing w:lineRule="auto" w:line="360"/>
        <w:jc w:val="center"/>
        <w:rPr/>
      </w:pPr>
      <w:r>
        <w:rPr/>
        <w:t>-and-</w:t>
      </w:r>
    </w:p>
    <w:p>
      <w:pPr>
        <w:pStyle w:val="Heading10"/>
        <w:tabs>
          <w:tab w:val="left" w:pos="720" w:leader="none"/>
          <w:tab w:val="left" w:pos="1440" w:leader="none"/>
        </w:tabs>
        <w:spacing w:lineRule="auto" w:line="360" w:before="280" w:after="0"/>
        <w:jc w:val="center"/>
        <w:rPr/>
      </w:pPr>
      <w:r>
        <w:rPr/>
        <w:t>THE STATE OF MAHARASHTRA</w:t>
      </w:r>
    </w:p>
    <w:p>
      <w:pPr>
        <w:pStyle w:val="Heading10"/>
        <w:tabs>
          <w:tab w:val="left" w:pos="720" w:leader="none"/>
          <w:tab w:val="left" w:pos="1440" w:leader="none"/>
        </w:tabs>
        <w:spacing w:lineRule="auto" w:line="360" w:before="280" w:after="0"/>
        <w:jc w:val="end"/>
        <w:rPr>
          <w:u w:val="single"/>
        </w:rPr>
      </w:pPr>
      <w:r>
        <w:rPr>
          <w:u w:val="single"/>
        </w:rPr>
        <w:t>Respondent</w:t>
      </w:r>
    </w:p>
    <w:p>
      <w:pPr>
        <w:pStyle w:val="Heading10"/>
        <w:tabs>
          <w:tab w:val="left" w:pos="720" w:leader="none"/>
          <w:tab w:val="left" w:pos="1440" w:leader="none"/>
        </w:tabs>
        <w:spacing w:lineRule="auto" w:line="360"/>
        <w:jc w:val="center"/>
        <w:rPr>
          <w:b w:val="false"/>
          <w:u w:val="single"/>
        </w:rPr>
      </w:pPr>
      <w:r>
        <w:rPr>
          <w:b w:val="false"/>
          <w:u w:val="single"/>
        </w:rPr>
      </w:r>
    </w:p>
    <w:tbl>
      <w:tblPr>
        <w:tblW w:w="4856" w:type="dxa"/>
        <w:jc w:val="center"/>
        <w:tblInd w:w="0"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ARBITRATION</w:t>
            </w:r>
          </w:p>
        </w:tc>
      </w:tr>
    </w:tbl>
    <w:p>
      <w:pPr>
        <w:pStyle w:val="Heading1"/>
        <w:spacing w:lineRule="auto" w:line="360" w:before="0" w:after="140"/>
        <w:ind w:hanging="0" w:start="0"/>
        <w:rPr>
          <w:kern w:val="0"/>
          <w:u w:val="single"/>
        </w:rPr>
      </w:pPr>
      <w:r>
        <w:rPr>
          <w:kern w:val="0"/>
          <w:u w:val="single"/>
        </w:rPr>
      </w:r>
    </w:p>
    <w:p>
      <w:pPr>
        <w:pStyle w:val="Recitals"/>
        <w:numPr>
          <w:ilvl w:val="0"/>
          <w:numId w:val="3"/>
        </w:numPr>
        <w:ind w:hanging="0" w:start="0"/>
        <w:rPr/>
      </w:pPr>
      <w:r>
        <w:rPr>
          <w:u w:val="single"/>
        </w:rPr>
        <w:t>Demand for Arbitration</w:t>
      </w:r>
    </w:p>
    <w:p>
      <w:pPr>
        <w:pStyle w:val="1LevelPara"/>
        <w:numPr>
          <w:ilvl w:val="0"/>
          <w:numId w:val="18"/>
        </w:numPr>
        <w:ind w:hanging="0" w:start="0" w:end="0"/>
        <w:rPr/>
      </w:pPr>
      <w:r>
        <w:rPr/>
        <w:t>Dabhol Power Company, the Claimant herein, hereby demands that the disputes and differences set out and described in paragraph 15 below (each “a Dispute”) which have arisen between it and The State of Maharashtra, the Respondent herein, out of or in connection with:-</w:t>
      </w:r>
    </w:p>
    <w:p>
      <w:pPr>
        <w:pStyle w:val="1LevelPara"/>
        <w:numPr>
          <w:ilvl w:val="0"/>
          <w:numId w:val="0"/>
        </w:numPr>
        <w:ind w:hanging="0" w:start="720" w:end="0"/>
        <w:rPr/>
      </w:pPr>
      <w:r>
        <w:rPr/>
        <w:t>(1)</w:t>
        <w:tab/>
        <w:t>a State Support Agreement between the Claimant and the Respondent made as a deed on 24</w:t>
      </w:r>
      <w:r>
        <w:rPr>
          <w:vertAlign w:val="superscript"/>
        </w:rPr>
        <w:t>th</w:t>
      </w:r>
      <w:r>
        <w:rPr/>
        <w:t xml:space="preserve"> June 1994, (as amended in terms of Clause 5.1 of a Supplemental State Support Agreement between the Claimant and the Respndent made as a deed on 24</w:t>
      </w:r>
      <w:r>
        <w:rPr>
          <w:vertAlign w:val="superscript"/>
        </w:rPr>
        <w:t>th</w:t>
      </w:r>
      <w:r>
        <w:rPr/>
        <w:t xml:space="preserve"> June 1994) (“the GOM Support Agreement”); and,</w:t>
      </w:r>
    </w:p>
    <w:p>
      <w:pPr>
        <w:pStyle w:val="1LevelPara"/>
        <w:numPr>
          <w:ilvl w:val="0"/>
          <w:numId w:val="0"/>
        </w:numPr>
        <w:ind w:hanging="0" w:start="720" w:end="0"/>
        <w:rPr/>
      </w:pPr>
      <w:r>
        <w:rPr/>
        <w:t>(2)</w:t>
        <w:tab/>
        <w:t>a Supplemental State Support Agreement between the Claimant and the Respondent made as a deed on 27</w:t>
      </w:r>
      <w:r>
        <w:rPr>
          <w:vertAlign w:val="superscript"/>
        </w:rPr>
        <w:t>th</w:t>
      </w:r>
      <w:r>
        <w:rPr/>
        <w:t xml:space="preserve"> July 1996 (“the Supplemental GOM Support Agreement”)</w:t>
      </w:r>
    </w:p>
    <w:p>
      <w:pPr>
        <w:pStyle w:val="1LevelPara"/>
        <w:numPr>
          <w:ilvl w:val="0"/>
          <w:numId w:val="0"/>
        </w:numPr>
        <w:ind w:hanging="0" w:start="0"/>
        <w:rPr/>
      </w:pPr>
      <w:r>
        <w:rPr/>
        <w:t>be referred to arbitration pursuant to, and in accordance with, the provisions of the arbitration agreements between the parties set out in Clauses 11.1 to 11.3 of the GOM Support Agreement and Clause 5.2 of the Supplemental GOM Support Agreement, respectively, and, the Arbitration Rules of the United Nations Commission on International Trade Law (set out in resolution 35/52 on adopted by the United Nations General Assembly on 15</w:t>
      </w:r>
      <w:r>
        <w:rPr>
          <w:vertAlign w:val="superscript"/>
        </w:rPr>
        <w:t>th</w:t>
      </w:r>
      <w:r>
        <w:rPr/>
        <w:t xml:space="preserve"> December 1976) (“the UNCITRAL Arbitration Rules”).</w:t>
      </w:r>
    </w:p>
    <w:p>
      <w:pPr>
        <w:pStyle w:val="Recitals"/>
        <w:numPr>
          <w:ilvl w:val="0"/>
          <w:numId w:val="3"/>
        </w:numPr>
        <w:ind w:hanging="0" w:start="0"/>
        <w:rPr/>
      </w:pPr>
      <w:r>
        <w:rPr>
          <w:u w:val="single"/>
        </w:rPr>
        <w:t>Definitions and Abbreviations</w:t>
      </w:r>
    </w:p>
    <w:p>
      <w:pPr>
        <w:pStyle w:val="1LevelPara"/>
        <w:numPr>
          <w:ilvl w:val="0"/>
          <w:numId w:val="18"/>
        </w:numPr>
        <w:ind w:hanging="0" w:start="0" w:end="0"/>
        <w:rPr/>
      </w:pPr>
      <w:r>
        <w:rPr/>
        <w:t>Save where the context requires otherwise, capitalised terms which are not defined in this Notice of Arbitration shall bear the meanings ascribed to them in:-</w:t>
      </w:r>
    </w:p>
    <w:p>
      <w:pPr>
        <w:pStyle w:val="1LevelPara"/>
        <w:numPr>
          <w:ilvl w:val="0"/>
          <w:numId w:val="0"/>
        </w:numPr>
        <w:ind w:hanging="0" w:start="720" w:end="0"/>
        <w:rPr/>
      </w:pPr>
      <w:r>
        <w:rPr/>
        <w:t>(1)</w:t>
        <w:tab/>
        <w:t xml:space="preserve">Clause 1.1 of the GOM Support Agreement; and </w:t>
      </w:r>
    </w:p>
    <w:p>
      <w:pPr>
        <w:pStyle w:val="1LevelPara"/>
        <w:numPr>
          <w:ilvl w:val="0"/>
          <w:numId w:val="0"/>
        </w:numPr>
        <w:ind w:hanging="0" w:start="720" w:end="0"/>
        <w:rPr/>
      </w:pPr>
      <w:r>
        <w:rPr/>
        <w:t>(2)</w:t>
        <w:tab/>
        <w:t>Clause 1.1 of a Power Purchase Agreement entered into between the Claimant and the Maharashtra State Electricity Board on 8</w:t>
      </w:r>
      <w:r>
        <w:rPr>
          <w:vertAlign w:val="superscript"/>
        </w:rPr>
        <w:t>th</w:t>
      </w:r>
      <w:r>
        <w:rPr/>
        <w:t xml:space="preserve"> December 1993 (as amended and supplemented by amending agreements entered into on 2</w:t>
      </w:r>
      <w:r>
        <w:rPr>
          <w:vertAlign w:val="superscript"/>
        </w:rPr>
        <w:t>nd</w:t>
      </w:r>
      <w:r>
        <w:rPr/>
        <w:t xml:space="preserve"> February 1995, on 26</w:t>
      </w:r>
      <w:r>
        <w:rPr>
          <w:vertAlign w:val="superscript"/>
        </w:rPr>
        <w:t>th</w:t>
      </w:r>
      <w:r>
        <w:rPr/>
        <w:t xml:space="preserve"> July 1996 and on 9</w:t>
      </w:r>
      <w:r>
        <w:rPr>
          <w:vertAlign w:val="superscript"/>
        </w:rPr>
        <w:t>th</w:t>
      </w:r>
      <w:r>
        <w:rPr/>
        <w:t xml:space="preserve"> December 1998, respectively) (“the PPA” and “the MSEB”, respectively).</w:t>
      </w:r>
    </w:p>
    <w:p>
      <w:pPr>
        <w:pStyle w:val="Recitals"/>
        <w:numPr>
          <w:ilvl w:val="0"/>
          <w:numId w:val="3"/>
        </w:numPr>
        <w:ind w:hanging="0" w:start="0"/>
        <w:rPr/>
      </w:pPr>
      <w:r>
        <w:rPr>
          <w:u w:val="single"/>
        </w:rPr>
        <w:t>Names and Addresses of the Parties</w:t>
      </w:r>
    </w:p>
    <w:p>
      <w:pPr>
        <w:pStyle w:val="1LevelPara"/>
        <w:numPr>
          <w:ilvl w:val="0"/>
          <w:numId w:val="18"/>
        </w:numPr>
        <w:ind w:hanging="0" w:start="0"/>
        <w:rPr/>
      </w:pPr>
      <w:r>
        <w:rPr/>
        <w:t>(1)</w:t>
        <w:tab/>
        <w:t>The Claimant is the Dabhol Power Company, a private company with unlimited liability incorporated in India under the Companies Act 1956, whose registered office and address is at Enron Centre, Plot No. C-2, G Block, Bandra-Kurla Complex, Bandra East, Mumbai - 400 051, India.</w:t>
      </w:r>
    </w:p>
    <w:p>
      <w:pPr>
        <w:pStyle w:val="1LevelPara"/>
        <w:numPr>
          <w:ilvl w:val="0"/>
          <w:numId w:val="0"/>
        </w:numPr>
        <w:ind w:hanging="0" w:start="720" w:end="0"/>
        <w:rPr/>
      </w:pPr>
      <w:r>
        <w:rPr/>
        <w:t>(2)</w:t>
        <w:tab/>
        <w:t>The Respondent is The State of Maharashtra, acting through the Secretary to the Government of Maharashtra (Industries, Energy and Labour Department), whose principal office and address is at Mantralaya, Mumbai - 400 032, India.</w:t>
      </w:r>
    </w:p>
    <w:p>
      <w:pPr>
        <w:pStyle w:val="Recitals"/>
        <w:numPr>
          <w:ilvl w:val="0"/>
          <w:numId w:val="3"/>
        </w:numPr>
        <w:ind w:hanging="0" w:start="0"/>
        <w:rPr/>
      </w:pPr>
      <w:r>
        <w:rPr>
          <w:u w:val="single"/>
        </w:rPr>
        <w:t>Capacity of the Claimant</w:t>
      </w:r>
    </w:p>
    <w:p>
      <w:pPr>
        <w:pStyle w:val="1LevelPara"/>
        <w:numPr>
          <w:ilvl w:val="0"/>
          <w:numId w:val="18"/>
        </w:numPr>
        <w:ind w:hanging="0" w:start="0" w:end="0"/>
        <w:rPr/>
      </w:pPr>
      <w:r>
        <w:rPr/>
        <w:t>The Claimant herein serves this Notice of Arbitration and commences the references to arbitration begun in terms of this Notice of Arbitration, for itself and as a trustee for Foreign Investors and Lenders in accordance with the provisions of Clause 8.2(b) of the GOM Support Agreement.</w:t>
      </w:r>
    </w:p>
    <w:p>
      <w:pPr>
        <w:pStyle w:val="Recitals"/>
        <w:numPr>
          <w:ilvl w:val="0"/>
          <w:numId w:val="3"/>
        </w:numPr>
        <w:ind w:hanging="0" w:start="0"/>
        <w:rPr/>
      </w:pPr>
      <w:r>
        <w:rPr>
          <w:u w:val="single"/>
        </w:rPr>
        <w:t>Arbitration Agreements Invoked</w:t>
      </w:r>
    </w:p>
    <w:p>
      <w:pPr>
        <w:pStyle w:val="1LevelPara"/>
        <w:numPr>
          <w:ilvl w:val="0"/>
          <w:numId w:val="18"/>
        </w:numPr>
        <w:ind w:hanging="0" w:start="0" w:end="0"/>
        <w:rPr/>
      </w:pPr>
      <w:r>
        <w:rPr/>
        <w:t>The arbitration agreements which are invoked by the Claimant are set out in:-</w:t>
      </w:r>
    </w:p>
    <w:p>
      <w:pPr>
        <w:pStyle w:val="1LevelPara"/>
        <w:numPr>
          <w:ilvl w:val="0"/>
          <w:numId w:val="0"/>
        </w:numPr>
        <w:ind w:hanging="0" w:start="720" w:end="0"/>
        <w:rPr/>
      </w:pPr>
      <w:r>
        <w:rPr/>
        <w:t>(1)</w:t>
        <w:tab/>
        <w:t xml:space="preserve">Clauses 11.1 to 11.3 of the GOM Support Agreement; and </w:t>
      </w:r>
    </w:p>
    <w:p>
      <w:pPr>
        <w:pStyle w:val="1LevelPara"/>
        <w:numPr>
          <w:ilvl w:val="0"/>
          <w:numId w:val="0"/>
        </w:numPr>
        <w:ind w:hanging="0" w:start="720" w:end="0"/>
        <w:rPr/>
      </w:pPr>
      <w:r>
        <w:rPr/>
        <w:t>(2)</w:t>
        <w:tab/>
        <w:t>Clause 5.2 of the Supplemental GOM Support Agreement (in terms of which the arbitration agreement set out in Clauses 11.1 to 11.3 of the GOM Support Agreement was incorporated into the Supplemental GOM Support Agreement).</w:t>
      </w:r>
    </w:p>
    <w:p>
      <w:pPr>
        <w:pStyle w:val="1LevelPara"/>
        <w:numPr>
          <w:ilvl w:val="0"/>
          <w:numId w:val="0"/>
        </w:numPr>
        <w:ind w:hanging="0" w:start="0"/>
        <w:rPr/>
      </w:pPr>
      <w:r>
        <w:rPr/>
        <w:t>The text of the arbitration agreement set out in Clauses 11.1 to 11.3 of the GOM Support Agreement is set out in the Annexure to this Notice of Arbitration. The parties’ arbitration agreements provide that any arbitration begun pursuant thereto shall be held in London and shall be conducted in the English language, and, in accordance with the UNCITRAL Arbitration Rules and English law (as the procedural law of the reference to arbitration). The parties’ arbitration agreement further provides that no arbitrator shall be a national of India or the United States of America.</w:t>
      </w:r>
    </w:p>
    <w:p>
      <w:pPr>
        <w:pStyle w:val="Recitals"/>
        <w:numPr>
          <w:ilvl w:val="0"/>
          <w:numId w:val="3"/>
        </w:numPr>
        <w:ind w:hanging="0" w:start="0"/>
        <w:rPr/>
      </w:pPr>
      <w:r>
        <w:rPr>
          <w:u w:val="single"/>
        </w:rPr>
        <w:t>The Contracts</w:t>
      </w:r>
    </w:p>
    <w:p>
      <w:pPr>
        <w:pStyle w:val="1LevelPara"/>
        <w:numPr>
          <w:ilvl w:val="0"/>
          <w:numId w:val="18"/>
        </w:numPr>
        <w:ind w:hanging="0" w:start="0" w:end="0"/>
        <w:rPr/>
      </w:pPr>
      <w:r>
        <w:rPr/>
        <w:t xml:space="preserve">The contracts out of or in connection with which the Disputes have arisen are the GOM Support Agreement and the Supplemental GOM Support Agreement. </w:t>
      </w:r>
    </w:p>
    <w:p>
      <w:pPr>
        <w:pStyle w:val="Recitals"/>
        <w:numPr>
          <w:ilvl w:val="0"/>
          <w:numId w:val="3"/>
        </w:numPr>
        <w:ind w:hanging="0" w:start="0"/>
        <w:rPr/>
      </w:pPr>
      <w:r>
        <w:rPr>
          <w:u w:val="single"/>
        </w:rPr>
        <w:t>General Nature of the Claim and the Relief or Remedy Sought</w:t>
      </w:r>
    </w:p>
    <w:p>
      <w:pPr>
        <w:pStyle w:val="1LevelPara"/>
        <w:numPr>
          <w:ilvl w:val="0"/>
          <w:numId w:val="18"/>
        </w:numPr>
        <w:ind w:hanging="0" w:start="0" w:end="0"/>
        <w:rPr/>
      </w:pPr>
      <w:r>
        <w:rPr/>
        <w:t xml:space="preserve">In compliance with the provisions of Articles 3(3)(e) and 3(3)(f) of the UNCITRAL Arbitration Rules, in paragraphs 8 to 18 below the Claimant identifies the Disputes referred to arbitration (paragraph 15 below), sets out the general nature of the claim (paragraph 16 below), indicates the amount involved in the claim (paragraph 17 below) and describes the relief or remedy sought by it (paragraph 18 below). The Claimant’s claim herein and the relief or remedy sought by it will be particularised in due course in its Statement of Claim herein served in accordance with Article 18 of the UNCITRAL Arbitration Rules. </w:t>
      </w:r>
    </w:p>
    <w:p>
      <w:pPr>
        <w:pStyle w:val="Recitals"/>
        <w:numPr>
          <w:ilvl w:val="0"/>
          <w:numId w:val="0"/>
        </w:numPr>
        <w:ind w:firstLine="720" w:start="-720" w:end="0"/>
        <w:rPr>
          <w:b w:val="false"/>
        </w:rPr>
      </w:pPr>
      <w:r>
        <w:rPr>
          <w:b w:val="false"/>
        </w:rPr>
        <w:t>(1)</w:t>
        <w:tab/>
      </w:r>
      <w:r>
        <w:rPr>
          <w:b w:val="false"/>
          <w:u w:val="single"/>
        </w:rPr>
        <w:t>Facts constituting the Background to the Disputes and the Claim</w:t>
      </w:r>
    </w:p>
    <w:p>
      <w:pPr>
        <w:pStyle w:val="Recitals"/>
        <w:numPr>
          <w:ilvl w:val="0"/>
          <w:numId w:val="0"/>
        </w:numPr>
        <w:ind w:firstLine="720" w:start="-720" w:end="0"/>
        <w:rPr>
          <w:b w:val="false"/>
        </w:rPr>
      </w:pPr>
      <w:r>
        <w:rPr>
          <w:b w:val="false"/>
        </w:rPr>
        <w:t>(a)</w:t>
        <w:tab/>
      </w:r>
      <w:r>
        <w:rPr>
          <w:b w:val="false"/>
          <w:u w:val="single"/>
        </w:rPr>
        <w:t>Breach of the GOM Obligation to Support the Project</w:t>
      </w:r>
    </w:p>
    <w:p>
      <w:pPr>
        <w:pStyle w:val="1LevelPara"/>
        <w:numPr>
          <w:ilvl w:val="0"/>
          <w:numId w:val="18"/>
        </w:numPr>
        <w:ind w:hanging="1440" w:start="1440" w:end="0"/>
        <w:rPr/>
      </w:pPr>
      <w:r>
        <w:rPr/>
        <w:t>(1)</w:t>
        <w:tab/>
        <w:t>(a)</w:t>
        <w:tab/>
        <w:t>In terms of the GOM Support Agreement and the Supplemental GOM Support Agreement, including (</w:t>
      </w:r>
      <w:r>
        <w:rPr>
          <w:i/>
        </w:rPr>
        <w:t>inter alia</w:t>
      </w:r>
      <w:r>
        <w:rPr/>
        <w:t>) Clause 2 of the GOM Supplement Agreement, the Respondent bound itself to support the development of Project, and, in particular, Phase II of the Project.</w:t>
      </w:r>
    </w:p>
    <w:p>
      <w:pPr>
        <w:pStyle w:val="1LevelPara"/>
        <w:numPr>
          <w:ilvl w:val="0"/>
          <w:numId w:val="0"/>
        </w:numPr>
        <w:ind w:hanging="0" w:start="1440" w:end="0"/>
        <w:rPr/>
      </w:pPr>
      <w:r>
        <w:rPr/>
        <w:t>(b)</w:t>
        <w:tab/>
        <w:t>On or about 2</w:t>
      </w:r>
      <w:r>
        <w:rPr>
          <w:vertAlign w:val="superscript"/>
        </w:rPr>
        <w:t>nd</w:t>
      </w:r>
      <w:r>
        <w:rPr/>
        <w:t xml:space="preserve"> August 1995, the (then) executive government of the Respondent purported to cancel the project and took other actions which were inconsistent with its obligations under the GOM Support Agreement. In consequence, the construction of Phase I of the Project was suspended and the Lenders to the Claimant ceased to enter credit to the Claimant. By two Notices of Arbitration dated 4</w:t>
      </w:r>
      <w:r>
        <w:rPr>
          <w:vertAlign w:val="superscript"/>
        </w:rPr>
        <w:t>th</w:t>
      </w:r>
      <w:r>
        <w:rPr/>
        <w:t xml:space="preserve"> August 1995 and 14</w:t>
      </w:r>
      <w:r>
        <w:rPr>
          <w:vertAlign w:val="superscript"/>
        </w:rPr>
        <w:t>th</w:t>
      </w:r>
      <w:r>
        <w:rPr/>
        <w:t xml:space="preserve"> August 1995, respectively, the Claimant commenced arbitral proceedings against the Respondent pursuant to the provisions of the GOM Support Agreement and the GOM Guarantee. Those arbitral proceedings were compromised and were terminated in terms of a Consent Award made on </w:t>
      </w:r>
      <w:r>
        <w:rPr>
          <w:rFonts w:eastAsia="Symbol" w:cs="Symbol" w:ascii="Symbol" w:hAnsi="Symbol"/>
        </w:rPr>
        <w:sym w:font="Symbol" w:char="f0b7"/>
      </w:r>
      <w:r>
        <w:rPr/>
        <w:t xml:space="preserve"> December 1996.</w:t>
      </w:r>
    </w:p>
    <w:p>
      <w:pPr>
        <w:pStyle w:val="1LevelPara"/>
        <w:numPr>
          <w:ilvl w:val="0"/>
          <w:numId w:val="0"/>
        </w:numPr>
        <w:ind w:hanging="0" w:start="1440" w:end="0"/>
        <w:rPr/>
      </w:pPr>
      <w:r>
        <w:rPr/>
        <w:t>(c)</w:t>
        <w:tab/>
        <w:t>The Supplemental GOM Support Agreement was entered into by the Respondent following upon a decision of the (then) executive government of the Respondent to take steps whose objects were to the re-instate the Project and to serve the re-commencement of the construction of Phase I of the Project on revised commercial terms. In order to achieve those objectives, it was necessary that the Lenders to the Claimant required to resume extending credit to the Claimant which, in turn, agreed that the Lenders receive confirmation as to the enforceability of that security over, and with respect to, the Project. The genesis and objective of the Supplemental GOM Support Agreement was to ensure that the Respondent committed itself to support the development of the Project in the light of the events which occurred.</w:t>
      </w:r>
    </w:p>
    <w:p>
      <w:pPr>
        <w:pStyle w:val="1LevelPara"/>
        <w:numPr>
          <w:ilvl w:val="0"/>
          <w:numId w:val="0"/>
        </w:numPr>
        <w:ind w:hanging="0" w:start="720" w:end="0"/>
        <w:rPr/>
      </w:pPr>
      <w:r>
        <w:rPr/>
        <w:t>(2)</w:t>
        <w:tab/>
        <w:t>Following upon a further change in the composition of the executive government of the Respondent, the Respondent has adopted and has sought to pursue a policy whose objective and/or the implementation of which includes or requires (</w:t>
      </w:r>
      <w:r>
        <w:rPr>
          <w:i/>
        </w:rPr>
        <w:t>inter alia</w:t>
      </w:r>
      <w:r>
        <w:rPr/>
        <w:t>) the re-negotiation of the terms of the PPA and the amendment of those terms (in particular, the tariff under the PPA) to the disadvantage of the Claimant and/or the cancellation, modification or forced abandonment (by the Claimant) of Phase II of the Project and/or the delay of Entry into Commercial Service of Phase II of the Project or the constituent elements thereof.</w:t>
      </w:r>
    </w:p>
    <w:p>
      <w:pPr>
        <w:pStyle w:val="1LevelPara"/>
        <w:numPr>
          <w:ilvl w:val="0"/>
          <w:numId w:val="0"/>
        </w:numPr>
        <w:ind w:hanging="0" w:start="720" w:end="0"/>
        <w:rPr/>
      </w:pPr>
      <w:r>
        <w:rPr/>
        <w:t>(3)</w:t>
        <w:tab/>
        <w:t>The Respondent’s obligation under the GOM Support Agreement and the Supplemental GOM Support Agreement was to support to the development of the Project in the form in which it stood, and upon the commercial terms set out in the PPA and the GOI Guarantee, as at the Financial Closure of Phase II of the Project on 3</w:t>
      </w:r>
      <w:r>
        <w:rPr>
          <w:vertAlign w:val="superscript"/>
        </w:rPr>
        <w:t>rd</w:t>
      </w:r>
      <w:r>
        <w:rPr/>
        <w:t xml:space="preserve"> May 1999, and in no other form and upon no other commercial terms. The Claimant will say that the articulation, and the implementation, of a policy such as that set out and described in sub-paragraph </w:t>
      </w:r>
      <w:r>
        <w:rPr>
          <w:highlight w:val="cyan"/>
        </w:rPr>
        <w:t>8(3)</w:t>
      </w:r>
      <w:r>
        <w:rPr/>
        <w:t xml:space="preserve"> above were and are actions which are incompatible with the obligations assumed by the Respondent in terms of the GOM Support Agreement and the Supplementary GOM Support Agreement.</w:t>
      </w:r>
    </w:p>
    <w:p>
      <w:pPr>
        <w:pStyle w:val="1LevelPara"/>
        <w:numPr>
          <w:ilvl w:val="0"/>
          <w:numId w:val="0"/>
        </w:numPr>
        <w:ind w:hanging="0" w:start="720" w:end="0"/>
        <w:rPr/>
      </w:pPr>
      <w:r>
        <w:rPr/>
        <w:t>(4)</w:t>
        <w:tab/>
        <w:t>The Respondent has sought to implement its policy partly by means of its own actions and partly by means of actions which it have variously caused, encouraged, counselled or procured the MSEB and other enties to take.</w:t>
      </w:r>
    </w:p>
    <w:p>
      <w:pPr>
        <w:pStyle w:val="1LevelPara"/>
        <w:numPr>
          <w:ilvl w:val="0"/>
          <w:numId w:val="0"/>
        </w:numPr>
        <w:ind w:hanging="0" w:start="720" w:end="0"/>
        <w:rPr/>
      </w:pPr>
      <w:r>
        <w:rPr/>
        <w:t>(5)</w:t>
        <w:tab/>
        <w:t>Contrary to its obligations under the GOM Support Agreement and the Supplemental GOM Support Agreement, the Respondent has directly and indirectly (by means of actions taken by the MSEB at its instigation) acted in a manner which is wholly inconsistent with the obligations assumed by it thereunder. In particular (but without limitation), the actions taken by the Respondent directly and indirectly (by means of actions taken by the MSEB at its instigation), and, statements made by Ministers and officials of the Respondent have involved the commission of persistent, serious and deliberate breaches of (</w:t>
      </w:r>
      <w:r>
        <w:rPr>
          <w:i/>
        </w:rPr>
        <w:t>inter alia</w:t>
      </w:r>
      <w:r>
        <w:rPr/>
        <w:t>) the Respondent’s obligation to lend support to the development of the Project.</w:t>
      </w:r>
    </w:p>
    <w:p>
      <w:pPr>
        <w:pStyle w:val="Recitals"/>
        <w:numPr>
          <w:ilvl w:val="0"/>
          <w:numId w:val="0"/>
        </w:numPr>
        <w:ind w:firstLine="720" w:start="-720" w:end="0"/>
        <w:rPr>
          <w:b w:val="false"/>
        </w:rPr>
      </w:pPr>
      <w:r>
        <w:rPr>
          <w:b w:val="false"/>
        </w:rPr>
        <w:t>(b)</w:t>
        <w:tab/>
      </w:r>
      <w:r>
        <w:rPr>
          <w:b w:val="false"/>
          <w:u w:val="single"/>
        </w:rPr>
        <w:t>Public Statements by Ministers and Officials of the GOM</w:t>
      </w:r>
    </w:p>
    <w:p>
      <w:pPr>
        <w:pStyle w:val="1LevelPara"/>
        <w:numPr>
          <w:ilvl w:val="0"/>
          <w:numId w:val="18"/>
        </w:numPr>
        <w:ind w:hanging="0" w:start="0"/>
        <w:rPr/>
      </w:pPr>
      <w:r>
        <w:rPr/>
        <w:t>(1)</w:t>
        <w:tab/>
        <w:t>Ministers and officials of the Respondent have made public statements which are inconsistent with the maintenance of support for the development of the Project by the Respondents. The Claimant will refer to and rely upon (</w:t>
      </w:r>
      <w:r>
        <w:rPr>
          <w:i/>
        </w:rPr>
        <w:t>inter alia</w:t>
      </w:r>
      <w:r>
        <w:rPr/>
        <w:t>) the facts, matters and statements of the Ministers and officials of the Respondent set out in the newspaper articles referred to in the Schedule hereto.</w:t>
      </w:r>
    </w:p>
    <w:p>
      <w:pPr>
        <w:pStyle w:val="1LevelPara"/>
        <w:numPr>
          <w:ilvl w:val="0"/>
          <w:numId w:val="0"/>
        </w:numPr>
        <w:ind w:hanging="0" w:start="720" w:end="0"/>
        <w:rPr/>
      </w:pPr>
      <w:r>
        <w:rPr/>
        <w:t>(2)</w:t>
        <w:tab/>
        <w:t>On 27</w:t>
      </w:r>
      <w:r>
        <w:rPr>
          <w:vertAlign w:val="superscript"/>
        </w:rPr>
        <w:t>th</w:t>
      </w:r>
      <w:r>
        <w:rPr/>
        <w:t xml:space="preserve"> March 2001 the Finance Minister of the Respondent made a speech to the Legislative Assembly for the State of Maharashtra. His speech (at paragraph 8.2 of the printed text) was to the following effect:-</w:t>
      </w:r>
    </w:p>
    <w:p>
      <w:pPr>
        <w:pStyle w:val="1LevelPara"/>
        <w:numPr>
          <w:ilvl w:val="0"/>
          <w:numId w:val="0"/>
        </w:numPr>
        <w:spacing w:lineRule="auto" w:line="240"/>
        <w:ind w:hanging="0" w:start="1440" w:end="0"/>
        <w:rPr>
          <w:i/>
          <w:i/>
        </w:rPr>
      </w:pPr>
      <w:r>
        <w:rPr>
          <w:i/>
        </w:rPr>
        <w:t>“</w:t>
      </w:r>
      <w:r>
        <w:rPr>
          <w:i/>
        </w:rPr>
        <w:t>8.2</w:t>
        <w:tab/>
        <w:t>The phase-I of the Dabhol Power Company (DPC) project entails a monthly fixed charged of Rs. 95 crore. After the commissioning of the phase-II in the year 2001-02, MSEB will be required to pay at least Rs. 508 crore per month to Enron without drawing even a single unit of electricity. Clearly, this is an unsustainable burden for the MSEB. We have set up a Committee of several experts under the Chairmanship of Dr. Madhav Godbole, former Union Home Secretary, to look into various aspects of this project and to renegotiate the contract. We have also requested the Central Government to take over the entire project directly or through its undertakings. We must, cutting across all party lines, try to find a solution to this problem, keeping in view the immediate and long-term interests of the State.”</w:t>
      </w:r>
    </w:p>
    <w:p>
      <w:pPr>
        <w:pStyle w:val="Recitals"/>
        <w:numPr>
          <w:ilvl w:val="0"/>
          <w:numId w:val="0"/>
        </w:numPr>
        <w:ind w:firstLine="720" w:start="-720" w:end="0"/>
        <w:rPr>
          <w:b w:val="false"/>
        </w:rPr>
      </w:pPr>
      <w:r>
        <w:rPr>
          <w:b w:val="false"/>
        </w:rPr>
        <w:t>(c)</w:t>
        <w:tab/>
      </w:r>
      <w:r>
        <w:rPr>
          <w:b w:val="false"/>
          <w:u w:val="single"/>
        </w:rPr>
        <w:t>Establishment of the GOM Energy Review Committee</w:t>
      </w:r>
    </w:p>
    <w:p>
      <w:pPr>
        <w:pStyle w:val="1LevelPara"/>
        <w:numPr>
          <w:ilvl w:val="0"/>
          <w:numId w:val="18"/>
        </w:numPr>
        <w:ind w:hanging="0" w:start="0"/>
        <w:rPr/>
      </w:pPr>
      <w:r>
        <w:rPr/>
        <w:t>(1)</w:t>
        <w:tab/>
        <w:t>By a Resolution dated 9</w:t>
      </w:r>
      <w:r>
        <w:rPr>
          <w:vertAlign w:val="superscript"/>
        </w:rPr>
        <w:t>th</w:t>
      </w:r>
      <w:r>
        <w:rPr/>
        <w:t xml:space="preserve"> February 2001 (Resolution No. PSP 2001/CR3448/ NRG-2) the Respondent constituted an Energy Review Committee consisting (initially) of six members for the following purposes:-</w:t>
      </w:r>
    </w:p>
    <w:p>
      <w:pPr>
        <w:pStyle w:val="1LevelPara"/>
        <w:numPr>
          <w:ilvl w:val="0"/>
          <w:numId w:val="0"/>
        </w:numPr>
        <w:spacing w:lineRule="auto" w:line="240"/>
        <w:ind w:hanging="0" w:start="1440" w:end="0"/>
        <w:rPr>
          <w:i/>
          <w:i/>
        </w:rPr>
      </w:pPr>
      <w:r>
        <w:rPr>
          <w:i/>
        </w:rPr>
        <w:t>“</w:t>
      </w:r>
      <w:r>
        <w:rPr>
          <w:i/>
        </w:rPr>
        <w:t>Pursuant to the new power policies, several independent power projects have been and are being set up in the State of Maharashtra. Under the present policy of Government of India, export of power outside State or sale of power by Independent Power Projects (IPPs) to parties other than Maharashtra State Electricity Board (MSEB) is not permitted. The entire position of demand and supply of electric power within the State has undergone a change in the last five years.</w:t>
      </w:r>
    </w:p>
    <w:p>
      <w:pPr>
        <w:pStyle w:val="1LevelPara"/>
        <w:numPr>
          <w:ilvl w:val="0"/>
          <w:numId w:val="0"/>
        </w:numPr>
        <w:spacing w:lineRule="auto" w:line="240" w:before="0" w:after="240"/>
        <w:ind w:hanging="0" w:start="1440" w:end="0"/>
        <w:rPr>
          <w:i/>
          <w:i/>
        </w:rPr>
      </w:pPr>
      <w:r>
        <w:rPr>
          <w:i/>
        </w:rPr>
        <w:t>In view of the current scenario, the State Government is of the opinion that a general review of the power situation as well as specific review of particular IPPs, their implications and effects upon the demand and supply of power and their financial implications has become necessary.”</w:t>
      </w:r>
    </w:p>
    <w:p>
      <w:pPr>
        <w:pStyle w:val="1LevelPara"/>
        <w:numPr>
          <w:ilvl w:val="0"/>
          <w:numId w:val="0"/>
        </w:numPr>
        <w:ind w:hanging="0" w:start="720" w:end="0"/>
        <w:rPr/>
      </w:pPr>
      <w:r>
        <w:rPr/>
        <w:t>(2)</w:t>
        <w:tab/>
        <w:t>The terms of reference of the Energy Review Committee were the following:-</w:t>
      </w:r>
    </w:p>
    <w:p>
      <w:pPr>
        <w:pStyle w:val="1LevelPara"/>
        <w:numPr>
          <w:ilvl w:val="0"/>
          <w:numId w:val="0"/>
        </w:numPr>
        <w:spacing w:lineRule="auto" w:line="240"/>
        <w:ind w:hanging="0" w:start="1440" w:end="0"/>
        <w:rPr>
          <w:i/>
          <w:i/>
        </w:rPr>
      </w:pPr>
      <w:r>
        <w:rPr>
          <w:i/>
        </w:rPr>
        <w:t>“</w:t>
      </w:r>
      <w:r>
        <w:rPr>
          <w:i/>
        </w:rPr>
        <w:t>A).</w:t>
        <w:tab/>
        <w:t>To review the position of overall demand and supply of electric power in the State, with special reference to the supply of power by projects of independent power producers and purchase thereof by the MSEB for which Power Purchase Agreements (PPA) have either been signed or are proposed.</w:t>
      </w:r>
    </w:p>
    <w:p>
      <w:pPr>
        <w:pStyle w:val="1LevelPara"/>
        <w:numPr>
          <w:ilvl w:val="0"/>
          <w:numId w:val="0"/>
        </w:numPr>
        <w:spacing w:lineRule="auto" w:line="240"/>
        <w:ind w:hanging="0" w:start="1440" w:end="0"/>
        <w:rPr>
          <w:i/>
          <w:i/>
        </w:rPr>
      </w:pPr>
      <w:r>
        <w:rPr>
          <w:i/>
        </w:rPr>
        <w:t>B).</w:t>
        <w:tab/>
        <w:t>To examine the cost of power supplied by the DPC and the distribution of power losses and its implications on the finances/tariff of MSEB.</w:t>
      </w:r>
    </w:p>
    <w:p>
      <w:pPr>
        <w:pStyle w:val="1LevelPara"/>
        <w:numPr>
          <w:ilvl w:val="0"/>
          <w:numId w:val="0"/>
        </w:numPr>
        <w:spacing w:lineRule="auto" w:line="240"/>
        <w:ind w:hanging="0" w:start="1440" w:end="0"/>
        <w:rPr>
          <w:i/>
          <w:i/>
        </w:rPr>
      </w:pPr>
      <w:r>
        <w:rPr>
          <w:i/>
        </w:rPr>
        <w:t>C).</w:t>
        <w:tab/>
        <w:t>To review and reconsider the provisions of the PPA signed with the DPC after holding discussions with the said Company, the MSEB and related authorities …”</w:t>
      </w:r>
    </w:p>
    <w:p>
      <w:pPr>
        <w:pStyle w:val="1LevelPara"/>
        <w:numPr>
          <w:ilvl w:val="0"/>
          <w:numId w:val="0"/>
        </w:numPr>
        <w:ind w:hanging="720" w:start="1440" w:end="0"/>
        <w:rPr/>
      </w:pPr>
      <w:r>
        <w:rPr/>
        <w:t>(3)</w:t>
        <w:tab/>
        <w:t>(a)</w:t>
        <w:tab/>
        <w:t>The expressed purposes of the Resolution notwithstanding, the primary function of the Energy Review Committee was and is a review of the Project and the PPA.</w:t>
      </w:r>
    </w:p>
    <w:p>
      <w:pPr>
        <w:pStyle w:val="1LevelPara"/>
        <w:numPr>
          <w:ilvl w:val="0"/>
          <w:numId w:val="0"/>
        </w:numPr>
        <w:ind w:hanging="0" w:start="1440" w:end="0"/>
        <w:rPr/>
      </w:pPr>
      <w:r>
        <w:rPr/>
        <w:t>(b)</w:t>
        <w:tab/>
        <w:t>The Energy Review Committee was neither invited nor required by the Respondent to review or to assess the costs or the tariff of any other private sector power station operator in the State of Maharashtra, nor has it in fact done so.</w:t>
      </w:r>
    </w:p>
    <w:p>
      <w:pPr>
        <w:pStyle w:val="1LevelPara"/>
        <w:numPr>
          <w:ilvl w:val="0"/>
          <w:numId w:val="0"/>
        </w:numPr>
        <w:ind w:hanging="0" w:start="1440" w:end="0"/>
        <w:rPr/>
      </w:pPr>
      <w:r>
        <w:rPr/>
        <w:t>(c)</w:t>
        <w:tab/>
        <w:t xml:space="preserve">The Claimant will say that the Energy Review Committee was set up by the Respondent in order to provide the executive government of the Respondent with superficially colourable and objective grounds upon which to seek to re-negotiate the terms of the PPA (in order to achieve the </w:t>
      </w:r>
      <w:r>
        <w:rPr>
          <w:i/>
        </w:rPr>
        <w:t>a priori</w:t>
      </w:r>
      <w:r>
        <w:rPr/>
        <w:t xml:space="preserve"> determined objective of the Respondent’s policy), and, accordingly, to do precisely the opposite of that which the Respondent had bound itself to do under the GOM Support Agreement and the Supplemental GOM Support Agreement (namely, to support the development of the Project).</w:t>
      </w:r>
    </w:p>
    <w:p>
      <w:pPr>
        <w:pStyle w:val="Recitals"/>
        <w:numPr>
          <w:ilvl w:val="0"/>
          <w:numId w:val="0"/>
        </w:numPr>
        <w:ind w:firstLine="720" w:start="-720" w:end="0"/>
        <w:rPr>
          <w:b w:val="false"/>
        </w:rPr>
      </w:pPr>
      <w:r>
        <w:rPr>
          <w:b w:val="false"/>
        </w:rPr>
        <w:t>(d)</w:t>
        <w:tab/>
      </w:r>
      <w:r>
        <w:rPr>
          <w:b w:val="false"/>
          <w:u w:val="single"/>
        </w:rPr>
        <w:t>GOM Guarantee Not Honoured</w:t>
      </w:r>
    </w:p>
    <w:p>
      <w:pPr>
        <w:pStyle w:val="1LevelPara"/>
        <w:numPr>
          <w:ilvl w:val="0"/>
          <w:numId w:val="18"/>
        </w:numPr>
        <w:ind w:hanging="0" w:start="0"/>
        <w:rPr/>
      </w:pPr>
      <w:r>
        <w:rPr/>
        <w:t>(1)</w:t>
        <w:tab/>
        <w:t>In terms of Clause 1 of the GOM Guarantee, the GOM irrevocably and unconditionally agreed to pay to the Claimant, within 7 calendar days of demand by the Claimant thereunder, any and every sum of money which the MSEB is liable to pay the Claimant under the PPA but shall have failed to pay in accordance with the terms of the PPA.</w:t>
      </w:r>
    </w:p>
    <w:p>
      <w:pPr>
        <w:pStyle w:val="1LevelPara"/>
        <w:numPr>
          <w:ilvl w:val="0"/>
          <w:numId w:val="0"/>
        </w:numPr>
        <w:ind w:hanging="0" w:start="720" w:end="0"/>
        <w:rPr/>
      </w:pPr>
      <w:r>
        <w:rPr/>
        <w:t>(2)</w:t>
        <w:tab/>
        <w:t>On or about 25</w:t>
      </w:r>
      <w:r>
        <w:rPr>
          <w:vertAlign w:val="superscript"/>
        </w:rPr>
        <w:t>th</w:t>
      </w:r>
      <w:r>
        <w:rPr/>
        <w:t xml:space="preserve"> January 2001, 6</w:t>
      </w:r>
      <w:r>
        <w:rPr>
          <w:vertAlign w:val="superscript"/>
        </w:rPr>
        <w:t>th</w:t>
      </w:r>
      <w:r>
        <w:rPr/>
        <w:t xml:space="preserve"> February 2001 and 3</w:t>
      </w:r>
      <w:r>
        <w:rPr>
          <w:vertAlign w:val="superscript"/>
        </w:rPr>
        <w:t>rd</w:t>
      </w:r>
      <w:r>
        <w:rPr/>
        <w:t xml:space="preserve"> April 2001 the Claimant made four demands upon the Respondent under the GOM Support Agreements for an aggregate amount of Rs. ●. On each such occasion the Respondent has failed to pay to the Claimant the sums which it was obliged to pay to the Claimant in pursuance of the GOM Guarantee. The first occasion upon which the Respondent defaulted upon its obligations under the GOM Guarantee was 1</w:t>
      </w:r>
      <w:r>
        <w:rPr>
          <w:vertAlign w:val="superscript"/>
        </w:rPr>
        <w:t>st</w:t>
      </w:r>
      <w:r>
        <w:rPr/>
        <w:t xml:space="preserve"> February 2001.</w:t>
      </w:r>
    </w:p>
    <w:p>
      <w:pPr>
        <w:pStyle w:val="1LevelPara"/>
        <w:numPr>
          <w:ilvl w:val="0"/>
          <w:numId w:val="0"/>
        </w:numPr>
        <w:ind w:hanging="0" w:start="720" w:end="0"/>
        <w:rPr/>
      </w:pPr>
      <w:r>
        <w:rPr/>
        <w:t>(3)</w:t>
        <w:tab/>
        <w:t>On 5</w:t>
      </w:r>
      <w:r>
        <w:rPr>
          <w:vertAlign w:val="superscript"/>
        </w:rPr>
        <w:t>th</w:t>
      </w:r>
      <w:r>
        <w:rPr/>
        <w:t xml:space="preserve"> February 2001, the Finance and Planning Minister of the Respondent, Mr Jayant Rajaram Patil made a statement to a reporter of </w:t>
      </w:r>
      <w:r>
        <w:rPr>
          <w:i/>
        </w:rPr>
        <w:t>“The Economic Times”</w:t>
      </w:r>
      <w:r>
        <w:rPr/>
        <w:t xml:space="preserve"> commenting upon the decision of a credit-rating agency to downgrade the credit-rating of the Respondent following upon the Respondent’s default and failure, to honour the first of the demands made of it by the Claimant under the GOM Guarantee on 25</w:t>
      </w:r>
      <w:r>
        <w:rPr>
          <w:vertAlign w:val="superscript"/>
        </w:rPr>
        <w:t>th</w:t>
      </w:r>
      <w:r>
        <w:rPr/>
        <w:t xml:space="preserve"> January 2001. He stated that:-</w:t>
      </w:r>
    </w:p>
    <w:p>
      <w:pPr>
        <w:pStyle w:val="1LevelPara"/>
        <w:numPr>
          <w:ilvl w:val="0"/>
          <w:numId w:val="0"/>
        </w:numPr>
        <w:spacing w:lineRule="auto" w:line="240" w:before="0" w:after="240"/>
        <w:ind w:hanging="0" w:start="1440" w:end="0"/>
        <w:rPr>
          <w:i/>
          <w:i/>
        </w:rPr>
      </w:pPr>
      <w:r>
        <w:rPr>
          <w:i/>
        </w:rPr>
        <w:t>“…</w:t>
      </w:r>
      <w:r>
        <w:rPr>
          <w:rFonts w:eastAsia="Times"/>
          <w:i/>
        </w:rPr>
        <w:t xml:space="preserve"> </w:t>
      </w:r>
      <w:r>
        <w:rPr>
          <w:i/>
        </w:rPr>
        <w:t>we have refused to honour our contractual obligations by choice. It is our strategic decision not to pay Enron as we want to scrap the power purchase agreement the state has with the company … Our decision not to pay Enron has nothing to do with the state’s finances.”</w:t>
      </w:r>
    </w:p>
    <w:p>
      <w:pPr>
        <w:pStyle w:val="1LevelPara"/>
        <w:numPr>
          <w:ilvl w:val="0"/>
          <w:numId w:val="0"/>
        </w:numPr>
        <w:ind w:hanging="0" w:start="720" w:end="0"/>
        <w:rPr/>
      </w:pPr>
      <w:r>
        <w:rPr/>
        <w:t>(4)</w:t>
        <w:tab/>
        <w:t>Likewise, on or about 6</w:t>
      </w:r>
      <w:r>
        <w:rPr>
          <w:vertAlign w:val="superscript"/>
        </w:rPr>
        <w:t>th</w:t>
      </w:r>
      <w:r>
        <w:rPr/>
        <w:t xml:space="preserve"> February 2001, the Finance and Planning Minister of the Respondent made a statement to a reporter of the </w:t>
      </w:r>
      <w:r>
        <w:rPr>
          <w:i/>
        </w:rPr>
        <w:t>“Business Standard”</w:t>
      </w:r>
      <w:r>
        <w:rPr/>
        <w:t xml:space="preserve"> as follows:-</w:t>
      </w:r>
    </w:p>
    <w:p>
      <w:pPr>
        <w:pStyle w:val="1LevelPara"/>
        <w:numPr>
          <w:ilvl w:val="0"/>
          <w:numId w:val="0"/>
        </w:numPr>
        <w:spacing w:lineRule="auto" w:line="240" w:before="0" w:after="240"/>
        <w:ind w:hanging="0" w:start="1440" w:end="0"/>
        <w:rPr>
          <w:i/>
          <w:i/>
        </w:rPr>
      </w:pPr>
      <w:r>
        <w:rPr>
          <w:i/>
        </w:rPr>
        <w:t>“…</w:t>
      </w:r>
      <w:r>
        <w:rPr>
          <w:rFonts w:eastAsia="Times"/>
          <w:i/>
        </w:rPr>
        <w:t xml:space="preserve"> </w:t>
      </w:r>
      <w:r>
        <w:rPr>
          <w:i/>
        </w:rPr>
        <w:t>The non-payment of dues by the state government was necessitated by the contractual disagreement that arose and not because the government was unable to afford making payments. … This does not mean that the state is not able to fulfill its financial commitments. …</w:t>
      </w:r>
    </w:p>
    <w:p>
      <w:pPr>
        <w:pStyle w:val="1LevelPara"/>
        <w:numPr>
          <w:ilvl w:val="0"/>
          <w:numId w:val="0"/>
        </w:numPr>
        <w:spacing w:lineRule="auto" w:line="240" w:before="0" w:after="240"/>
        <w:ind w:hanging="0" w:start="1440" w:end="0"/>
        <w:rPr>
          <w:i/>
          <w:i/>
        </w:rPr>
      </w:pPr>
      <w:r>
        <w:rPr>
          <w:i/>
        </w:rPr>
        <w:t>…</w:t>
      </w:r>
      <w:r>
        <w:rPr>
          <w:rFonts w:eastAsia="Times"/>
          <w:i/>
        </w:rPr>
        <w:t xml:space="preserve"> </w:t>
      </w:r>
      <w:r>
        <w:rPr>
          <w:i/>
        </w:rPr>
        <w:t>When the rating agency informed us about the downgradation, we told them that it was not because we were short of funds but because the state had decided to set up a review committee that would look into the issue and recommend whether we needed to renegotiate with the company or follow some other avenue for resolving the problem of increased tariffs.”</w:t>
      </w:r>
    </w:p>
    <w:p>
      <w:pPr>
        <w:pStyle w:val="1LevelPara"/>
        <w:numPr>
          <w:ilvl w:val="0"/>
          <w:numId w:val="0"/>
        </w:numPr>
        <w:ind w:hanging="0" w:start="720" w:end="0"/>
        <w:rPr/>
      </w:pPr>
      <w:r>
        <w:rPr/>
        <w:t>(5)</w:t>
        <w:tab/>
        <w:t>The decisions on the part of the Respondent not to honour its obligations to the Claimant under the GOM Guarantee were decisions taken by the Cabinet of the Respondent and/or decisions taken by (</w:t>
      </w:r>
      <w:r>
        <w:rPr>
          <w:i/>
        </w:rPr>
        <w:t>inter alios</w:t>
      </w:r>
      <w:r>
        <w:rPr/>
        <w:t>) its Chief Minister and its Minister of Finance and Planning. The decisions were taken in furtherance or in implementation of the policy of the Respondent referred to in sub-paragraph 8(3) above.</w:t>
      </w:r>
    </w:p>
    <w:p>
      <w:pPr>
        <w:pStyle w:val="Recitals"/>
        <w:numPr>
          <w:ilvl w:val="0"/>
          <w:numId w:val="0"/>
        </w:numPr>
        <w:ind w:firstLine="720" w:start="-720" w:end="0"/>
        <w:rPr>
          <w:b w:val="false"/>
        </w:rPr>
      </w:pPr>
      <w:r>
        <w:rPr>
          <w:b w:val="false"/>
        </w:rPr>
        <w:t>(e)</w:t>
        <w:tab/>
      </w:r>
      <w:r>
        <w:rPr>
          <w:b w:val="false"/>
          <w:u w:val="single"/>
        </w:rPr>
        <w:t>Procurement of Breach of the GOI Support Agreement</w:t>
      </w:r>
    </w:p>
    <w:p>
      <w:pPr>
        <w:pStyle w:val="1LevelPara"/>
        <w:numPr>
          <w:ilvl w:val="0"/>
          <w:numId w:val="18"/>
        </w:numPr>
        <w:ind w:hanging="0" w:start="0"/>
        <w:rPr/>
      </w:pPr>
      <w:r>
        <w:rPr/>
        <w:t>(1)</w:t>
        <w:tab/>
        <w:t>On or about 8</w:t>
      </w:r>
      <w:r>
        <w:rPr>
          <w:vertAlign w:val="superscript"/>
        </w:rPr>
        <w:t>th</w:t>
      </w:r>
      <w:r>
        <w:rPr/>
        <w:t xml:space="preserve"> March 2001 (by a letter dated 7</w:t>
      </w:r>
      <w:r>
        <w:rPr>
          <w:vertAlign w:val="superscript"/>
        </w:rPr>
        <w:t>th</w:t>
      </w:r>
      <w:r>
        <w:rPr/>
        <w:t xml:space="preserve"> March 2001), the Claimant made demand upon the Government of India (“the GOI”) pursuant to the provisions of a Guarantee given by The Union of India in favour of the Claimant on 15</w:t>
      </w:r>
      <w:r>
        <w:rPr>
          <w:vertAlign w:val="superscript"/>
        </w:rPr>
        <w:t>th</w:t>
      </w:r>
      <w:r>
        <w:rPr/>
        <w:t xml:space="preserve"> September 1994 (“the GOI Support Agreement”) for the payment of the sum of Rs. 1,020,000,000.00, which sum was (a) due and payable by the MSEB to the Claimant on 25</w:t>
      </w:r>
      <w:r>
        <w:rPr>
          <w:vertAlign w:val="superscript"/>
        </w:rPr>
        <w:t>th</w:t>
      </w:r>
      <w:r>
        <w:rPr/>
        <w:t xml:space="preserve"> January 2001 under the PPA and in terms of the Claimant’s monthly billing statement relating to the month of December 2000 dated 5</w:t>
      </w:r>
      <w:r>
        <w:rPr>
          <w:vertAlign w:val="superscript"/>
        </w:rPr>
        <w:t>th</w:t>
      </w:r>
      <w:r>
        <w:rPr/>
        <w:t xml:space="preserve"> January 2001 (but which the MSEB had failed to pay to the Claimant on the due date for payment) and (b) due and payable by the Respondent under the GOM Guarantee on 13</w:t>
      </w:r>
      <w:r>
        <w:rPr>
          <w:vertAlign w:val="superscript"/>
        </w:rPr>
        <w:t>th</w:t>
      </w:r>
      <w:r>
        <w:rPr/>
        <w:t xml:space="preserve"> February 2001 pursuant to a demand therefor made by the Claimant by a letter dated 5</w:t>
      </w:r>
      <w:r>
        <w:rPr>
          <w:vertAlign w:val="superscript"/>
        </w:rPr>
        <w:t>th</w:t>
      </w:r>
      <w:r>
        <w:rPr/>
        <w:t xml:space="preserve"> February 2001 (but which the Respondent had failed to pay to the Claimant on the due date for payment).</w:t>
      </w:r>
    </w:p>
    <w:p>
      <w:pPr>
        <w:pStyle w:val="1LevelPara"/>
        <w:numPr>
          <w:ilvl w:val="0"/>
          <w:numId w:val="0"/>
        </w:numPr>
        <w:ind w:hanging="0" w:start="720" w:end="0"/>
        <w:rPr/>
      </w:pPr>
      <w:r>
        <w:rPr/>
        <w:t>(2)</w:t>
        <w:tab/>
        <w:t>By a letter dated 31</w:t>
      </w:r>
      <w:r>
        <w:rPr>
          <w:vertAlign w:val="superscript"/>
        </w:rPr>
        <w:t>st</w:t>
      </w:r>
      <w:r>
        <w:rPr/>
        <w:t xml:space="preserve"> March 2001 the GOI wrongfully refused to pay the sum of Rs. 1,020,000,000.00 to the Claimant under the GOI Support Agreement. In paragraph 5 of that letter the GOI referred to a letter having been received by it from the Respondent dated 15</w:t>
      </w:r>
      <w:r>
        <w:rPr>
          <w:vertAlign w:val="superscript"/>
        </w:rPr>
        <w:t>th</w:t>
      </w:r>
      <w:r>
        <w:rPr/>
        <w:t xml:space="preserve"> March 2001 requesting, requiring, encouraging counselling and (in the event) procuring that the GOI not make any payment to the Claimant in response to the demand made by the Claimant under the GOI Support Agreement. That action was taken in furtherance or implementation of the policy of the Respondent described in sub-paragraph 8(3) above.</w:t>
      </w:r>
    </w:p>
    <w:p>
      <w:pPr>
        <w:pStyle w:val="Recitals"/>
        <w:numPr>
          <w:ilvl w:val="0"/>
          <w:numId w:val="0"/>
        </w:numPr>
        <w:ind w:firstLine="720" w:start="-720" w:end="0"/>
        <w:rPr>
          <w:b w:val="false"/>
        </w:rPr>
      </w:pPr>
      <w:r>
        <w:rPr>
          <w:b w:val="false"/>
        </w:rPr>
        <w:t>(f)</w:t>
        <w:tab/>
      </w:r>
      <w:r>
        <w:rPr>
          <w:b w:val="false"/>
          <w:u w:val="single"/>
        </w:rPr>
        <w:t>Non-Payment and Misperformance by the MSEB under the PPA</w:t>
      </w:r>
    </w:p>
    <w:p>
      <w:pPr>
        <w:pStyle w:val="1LevelPara"/>
        <w:numPr>
          <w:ilvl w:val="0"/>
          <w:numId w:val="18"/>
        </w:numPr>
        <w:ind w:hanging="0" w:start="0"/>
        <w:rPr/>
      </w:pPr>
      <w:r>
        <w:rPr/>
        <w:t>(1)</w:t>
        <w:tab/>
        <w:t>The MSEB is a statutory corporation incorporated under the Electricity (Supply) Act 1948. The Respondent controls the board of directors of the MSEB. In addition, through the provision (</w:t>
      </w:r>
      <w:r>
        <w:rPr>
          <w:i/>
        </w:rPr>
        <w:t>inter alia</w:t>
      </w:r>
      <w:r>
        <w:rPr/>
        <w:t xml:space="preserve">) of financial assistance and/or subventions made by the Respondent to the MSEB, the Respondent controls the finances of the MSEB and is, as a practical matter, able to exert, and does in fact exert, a high degree of control over the management of the MSEB and the conduct of its day-to-day business including (without limitation) the time, order of priority and/or extent to which the MSEB pays its suppliers, creditors and those who provide finance to it. When and where it chooses to do so, the Respondent controls and directs the policies and actions of the MSEB. </w:t>
      </w:r>
    </w:p>
    <w:p>
      <w:pPr>
        <w:pStyle w:val="1LevelPara"/>
        <w:numPr>
          <w:ilvl w:val="0"/>
          <w:numId w:val="0"/>
        </w:numPr>
        <w:ind w:hanging="0" w:start="720" w:end="0"/>
        <w:rPr/>
      </w:pPr>
      <w:r>
        <w:rPr/>
        <w:t>(2)</w:t>
        <w:tab/>
        <w:t>Under and in terms of Clause 11.2(f) of the PPA the MSEB is obliged to pay the sums brought out as due and owing by it to the Claimant in terms of the monthly billing statements delivered to it under Clause 11.1(a) of the PPA by not later than the dates specified in Clause 11.2(f). Since approximately 25</w:t>
      </w:r>
      <w:r>
        <w:rPr>
          <w:vertAlign w:val="superscript"/>
        </w:rPr>
        <w:t>th</w:t>
      </w:r>
      <w:r>
        <w:rPr/>
        <w:t xml:space="preserve"> November 2000 the MSEB has persistently failed to pay to the Claimant all such sums as have become due to it under the PPA punctually or (in certain cases) at all.</w:t>
      </w:r>
    </w:p>
    <w:p>
      <w:pPr>
        <w:pStyle w:val="1LevelPara"/>
        <w:numPr>
          <w:ilvl w:val="0"/>
          <w:numId w:val="0"/>
        </w:numPr>
        <w:ind w:hanging="0" w:start="720" w:end="0"/>
        <w:rPr/>
      </w:pPr>
      <w:r>
        <w:rPr/>
        <w:t>(3)</w:t>
        <w:tab/>
        <w:t>Further, since 28</w:t>
      </w:r>
      <w:r>
        <w:rPr>
          <w:vertAlign w:val="superscript"/>
        </w:rPr>
        <w:t>th</w:t>
      </w:r>
      <w:r>
        <w:rPr/>
        <w:t xml:space="preserve"> January 2001 the MSEB has engaged in a practice of seeking to despatch the Power Station in such a way as to make compliance by the Claimant with the relevant provisions of the PPA practically difficult or impossible with a view to securing opportunities for the MSEB to claim that it is entitled to assert claims for availability rebates under the PPA as against the Claimant. The pattern of the MSEB’s Despatch Instructions are wholly unrelated to the MSEB’s actual requirements for electrical energy. The times and the manner in which the MSEB has given its Despatch Instructions demonstrate that they were not given </w:t>
      </w:r>
      <w:r>
        <w:rPr>
          <w:i/>
        </w:rPr>
        <w:t>bona fide</w:t>
      </w:r>
      <w:r>
        <w:rPr/>
        <w:t>.</w:t>
      </w:r>
    </w:p>
    <w:p>
      <w:pPr>
        <w:pStyle w:val="1LevelPara"/>
        <w:numPr>
          <w:ilvl w:val="0"/>
          <w:numId w:val="0"/>
        </w:numPr>
        <w:ind w:hanging="0" w:start="720" w:end="0"/>
        <w:rPr/>
      </w:pPr>
      <w:r>
        <w:rPr/>
        <w:t>(4)</w:t>
        <w:tab/>
        <w:t>The Respondent has sought to procure, cause or require the MSEB to fail to comply, alternatively to fail to comply punctually, with the obligations owed by the MSEB to the Claimant under the PPA in pursuance of the policy referred to and described in sub-paragraph 8(3) above. Alternatively, the actions set out or referred to in sub-paragraph 13(2) and 13(3) above have been taken by the MSEB by joint decision and as part of a joint design with the Respondent (whose objective is the furtherance of the policy described in sub-paragraph 8(3) above) and/or with the Respondent’s prior knowledge, its consent and its concurrence.</w:t>
      </w:r>
    </w:p>
    <w:p>
      <w:pPr>
        <w:pStyle w:val="Recitals"/>
        <w:numPr>
          <w:ilvl w:val="0"/>
          <w:numId w:val="0"/>
        </w:numPr>
        <w:ind w:firstLine="720" w:start="-720" w:end="0"/>
        <w:rPr>
          <w:b w:val="false"/>
        </w:rPr>
      </w:pPr>
      <w:r>
        <w:rPr>
          <w:b w:val="false"/>
        </w:rPr>
        <w:t>(f)</w:t>
        <w:tab/>
      </w:r>
      <w:r>
        <w:rPr>
          <w:b w:val="false"/>
          <w:u w:val="single"/>
        </w:rPr>
        <w:t>Delay or Refusal to Grant Clearances</w:t>
      </w:r>
    </w:p>
    <w:p>
      <w:pPr>
        <w:pStyle w:val="1LevelPara"/>
        <w:numPr>
          <w:ilvl w:val="0"/>
          <w:numId w:val="18"/>
        </w:numPr>
        <w:ind w:hanging="0" w:start="0"/>
        <w:rPr/>
      </w:pPr>
      <w:r>
        <w:rPr/>
        <w:t>(1)</w:t>
        <w:tab/>
        <w:t>In order to be entitled to operate the Power Station the Claimant requires to hold a consent to operate the Power Station issued by the Maharashtra Pollution Control Board (“the MPCB”), an agency of the Respondent constituted under [legislation].</w:t>
      </w:r>
    </w:p>
    <w:p>
      <w:pPr>
        <w:pStyle w:val="1LevelPara"/>
        <w:numPr>
          <w:ilvl w:val="0"/>
          <w:numId w:val="0"/>
        </w:numPr>
        <w:ind w:hanging="720" w:start="1440" w:end="0"/>
        <w:rPr/>
      </w:pPr>
      <w:r>
        <w:rPr/>
        <w:t>(2)</w:t>
        <w:tab/>
        <w:t>(a)</w:t>
        <w:tab/>
        <w:t>The Claimant applied to the MPCB for a consent to operate the Power Station, and was granted a consent to operate for a period of one year, on 20</w:t>
      </w:r>
      <w:r>
        <w:rPr>
          <w:vertAlign w:val="superscript"/>
        </w:rPr>
        <w:t>th</w:t>
      </w:r>
      <w:r>
        <w:rPr/>
        <w:t xml:space="preserve"> May 1999. The Claimant’s consent to operate the Power Station for a period of one year was renewed by the MPCB on </w:t>
      </w:r>
      <w:r>
        <w:rPr>
          <w:rFonts w:eastAsia="Symbol" w:cs="Symbol" w:ascii="Symbol" w:hAnsi="Symbol"/>
        </w:rPr>
        <w:sym w:font="Symbol" w:char="f0b7"/>
      </w:r>
      <w:r>
        <w:rPr/>
        <w:t xml:space="preserve"> 2000 [date].</w:t>
      </w:r>
    </w:p>
    <w:p>
      <w:pPr>
        <w:pStyle w:val="1LevelPara"/>
        <w:numPr>
          <w:ilvl w:val="0"/>
          <w:numId w:val="0"/>
        </w:numPr>
        <w:ind w:hanging="720" w:start="2160" w:end="0"/>
        <w:rPr/>
      </w:pPr>
      <w:r>
        <w:rPr/>
        <w:t>(b)</w:t>
        <w:tab/>
        <w:t>On or about 22</w:t>
      </w:r>
      <w:r>
        <w:rPr>
          <w:vertAlign w:val="superscript"/>
        </w:rPr>
        <w:t>nd</w:t>
      </w:r>
      <w:r>
        <w:rPr/>
        <w:t xml:space="preserve"> January 2001, the Claimant applied to the MPCB for a renewal of its consent to operate the Power Station for a further period of one year to take effect as from 31</w:t>
      </w:r>
      <w:r>
        <w:rPr>
          <w:vertAlign w:val="superscript"/>
        </w:rPr>
        <w:t>st</w:t>
      </w:r>
      <w:r>
        <w:rPr/>
        <w:t xml:space="preserve"> March 2001.</w:t>
      </w:r>
    </w:p>
    <w:p>
      <w:pPr>
        <w:pStyle w:val="1LevelPara"/>
        <w:numPr>
          <w:ilvl w:val="0"/>
          <w:numId w:val="0"/>
        </w:numPr>
        <w:ind w:hanging="720" w:start="2160" w:end="0"/>
        <w:rPr/>
      </w:pPr>
      <w:r>
        <w:rPr/>
        <w:t>(c)</w:t>
        <w:tab/>
        <w:t>Despite numerous written and oral requests made of it by the Claimant [dates?], the MPCB has failed to renew the Claimant’s consent to operate the Power Station for a further period of one year as requested by the Claimant. By a letter dated 31</w:t>
      </w:r>
      <w:r>
        <w:rPr>
          <w:vertAlign w:val="superscript"/>
        </w:rPr>
        <w:t>st</w:t>
      </w:r>
      <w:r>
        <w:rPr/>
        <w:t xml:space="preserve"> March 2001 the MPCB informed the Claimant that its application for a renewal of its consent to operate for a period of one year had been referred to the Consent Appraisal Board of the MPCB, but that no decision had been taken. The Claimant was informed that, pending the decision of the Consent Appraisal Board of the MPCB, the Claimant might continue to treat its prior consent to operate the Power Station dated </w:t>
      </w:r>
      <w:r>
        <w:rPr>
          <w:rFonts w:eastAsia="Symbol" w:cs="Symbol" w:ascii="Symbol" w:hAnsi="Symbol"/>
        </w:rPr>
        <w:sym w:font="Symbol" w:char="f0b7"/>
      </w:r>
      <w:r>
        <w:rPr/>
        <w:t xml:space="preserve"> 2000 as valid.</w:t>
      </w:r>
    </w:p>
    <w:p>
      <w:pPr>
        <w:pStyle w:val="1LevelPara"/>
        <w:numPr>
          <w:ilvl w:val="0"/>
          <w:numId w:val="0"/>
        </w:numPr>
        <w:ind w:hanging="0" w:start="720" w:end="0"/>
        <w:rPr/>
      </w:pPr>
      <w:r>
        <w:rPr/>
        <w:t>(3)</w:t>
        <w:tab/>
        <w:t>On 21</w:t>
      </w:r>
      <w:r>
        <w:rPr>
          <w:vertAlign w:val="superscript"/>
        </w:rPr>
        <w:t>st</w:t>
      </w:r>
      <w:r>
        <w:rPr/>
        <w:t xml:space="preserve"> January 2001 the Claimant commenced testing and commissioning of Block B of Phase II of the Project pursuant to the provisions of the consent to establish issued to the Claimant by the MPCB on 16</w:t>
      </w:r>
      <w:r>
        <w:rPr>
          <w:vertAlign w:val="superscript"/>
        </w:rPr>
        <w:t>th</w:t>
      </w:r>
      <w:r>
        <w:rPr/>
        <w:t xml:space="preserve"> March 1996. On 9</w:t>
      </w:r>
      <w:r>
        <w:rPr>
          <w:vertAlign w:val="superscript"/>
        </w:rPr>
        <w:t>th</w:t>
      </w:r>
      <w:r>
        <w:rPr/>
        <w:t xml:space="preserve"> March 2001 the MPCB served a notice upon the Claimant prohibiting it from testing and commissioning Block B of Phase II of the Project without first obtaining a consent to operate. The MPCB’s actions had no proper legal basis or foundation, and were intended and were calculated to prevent or delay the Entry into Commercial Service of Block B of Phase II. </w:t>
      </w:r>
    </w:p>
    <w:p>
      <w:pPr>
        <w:pStyle w:val="1LevelPara"/>
        <w:numPr>
          <w:ilvl w:val="0"/>
          <w:numId w:val="0"/>
        </w:numPr>
        <w:ind w:hanging="0" w:start="720" w:end="0"/>
        <w:rPr/>
      </w:pPr>
      <w:r>
        <w:rPr/>
        <w:t>(4)</w:t>
        <w:tab/>
        <w:t>Subsequently, on 4</w:t>
      </w:r>
      <w:r>
        <w:rPr>
          <w:vertAlign w:val="superscript"/>
        </w:rPr>
        <w:t>th</w:t>
      </w:r>
      <w:r>
        <w:rPr/>
        <w:t xml:space="preserve"> April 2001, following representations addressed to the MPCB the MPCB purported to grant a permission to the Claimant to permit testing and commissioning under the Claimant’s consent to establish. That permission was not one which the MPCB was empowered to grant, nor was the MPCB lawfully entitled to require the provision of a bank guarantee by the Claimant or to purport to limit the period for testing and commissioning to a period running from 4</w:t>
      </w:r>
      <w:r>
        <w:rPr>
          <w:vertAlign w:val="superscript"/>
        </w:rPr>
        <w:t>th</w:t>
      </w:r>
      <w:r>
        <w:rPr/>
        <w:t xml:space="preserve"> April 2001 to 30</w:t>
      </w:r>
      <w:r>
        <w:rPr>
          <w:vertAlign w:val="superscript"/>
        </w:rPr>
        <w:t>th</w:t>
      </w:r>
      <w:r>
        <w:rPr/>
        <w:t xml:space="preserve"> June 2001, in each such case because the Claimant was in any event fully entitled to conduct the testing and commissioning of Block B of Phase II of the Project under its consent to establish.</w:t>
      </w:r>
    </w:p>
    <w:p>
      <w:pPr>
        <w:pStyle w:val="1LevelPara"/>
        <w:numPr>
          <w:ilvl w:val="0"/>
          <w:numId w:val="0"/>
        </w:numPr>
        <w:ind w:hanging="0" w:start="720" w:end="0"/>
        <w:rPr/>
      </w:pPr>
      <w:r>
        <w:rPr/>
        <w:t>(5)</w:t>
        <w:tab/>
        <w:t xml:space="preserve">Despite written requests from the Claimant for assistance in connection with the renewal of the Clearances referred to in sub-paragraphs 12(1) and 12(2) above [dates?], the Respondent has rendered no assistance to the Claimant in connection with the renewal and/or the grant of those Clearances. </w:t>
      </w:r>
    </w:p>
    <w:p>
      <w:pPr>
        <w:pStyle w:val="1LevelPara"/>
        <w:numPr>
          <w:ilvl w:val="0"/>
          <w:numId w:val="0"/>
        </w:numPr>
        <w:ind w:hanging="0" w:start="720" w:end="0"/>
        <w:rPr/>
      </w:pPr>
      <w:r>
        <w:rPr/>
        <w:t>(6)</w:t>
        <w:tab/>
        <w:t>The Respondent has given directions to and/or has counselled and procured the MPCB, through its officers, to delay or to withhold the Clearances to which the Claimant is properly entitled and/or to purport impose requirements for Clearances which the MPCB was not entitled in law to impose, alternatively has counselled or procured the MPCB to like effect.</w:t>
      </w:r>
    </w:p>
    <w:p>
      <w:pPr>
        <w:pStyle w:val="1LevelPara"/>
        <w:numPr>
          <w:ilvl w:val="0"/>
          <w:numId w:val="0"/>
        </w:numPr>
        <w:ind w:hanging="0" w:start="720" w:end="0"/>
        <w:rPr/>
      </w:pPr>
      <w:r>
        <w:rPr/>
        <w:t>(7)</w:t>
        <w:tab/>
        <w:t>In public meetings held at ● on 11</w:t>
      </w:r>
      <w:r>
        <w:rPr>
          <w:vertAlign w:val="superscript"/>
        </w:rPr>
        <w:t>th</w:t>
      </w:r>
      <w:r>
        <w:rPr/>
        <w:t xml:space="preserve"> March 2001, the Chief Minister of the Respondent announced that he had directed the MPCB to establish a task force with a view to scrutinising and investigating the operations of the Power Station. The Chief Minister justified his directions to the MPCB on the basis that complaints of air and water pollution from the Power Station had been received and required investigation. The Claimant has been told by an MPCB official that the officers of the MPCB understood (as had been intended) that they were to carry out investigations at the Power Station and to discover any facts or matters there which might be used in order to justify the MPCB in exercising its statutory powers to require generating operations at the Power Station to cease. No other private sector power station operator in the State of Maharashtra has been subject to any such investigative process on the part of the MPCB nor has any such investigative process been personally directed by a Chief Minister of the Respondent on any prior occasion. Further, and in any event, the Chief Minister of the Respondent has no proper or lawful right to seek direct to direct or to influence the manner in which the MPCB discharges its statutory duties.</w:t>
      </w:r>
    </w:p>
    <w:p>
      <w:pPr>
        <w:pStyle w:val="Recitals"/>
        <w:numPr>
          <w:ilvl w:val="0"/>
          <w:numId w:val="0"/>
        </w:numPr>
        <w:ind w:firstLine="720" w:start="-720" w:end="0"/>
        <w:rPr>
          <w:b w:val="false"/>
        </w:rPr>
      </w:pPr>
      <w:r>
        <w:rPr>
          <w:b w:val="false"/>
        </w:rPr>
        <w:t>(2)</w:t>
        <w:tab/>
      </w:r>
      <w:r>
        <w:rPr>
          <w:b w:val="false"/>
          <w:u w:val="single"/>
        </w:rPr>
        <w:t>Disputes Referred to Arbitration</w:t>
      </w:r>
    </w:p>
    <w:p>
      <w:pPr>
        <w:pStyle w:val="1LevelPara"/>
        <w:numPr>
          <w:ilvl w:val="0"/>
          <w:numId w:val="18"/>
        </w:numPr>
        <w:ind w:hanging="1440" w:start="1440" w:end="0"/>
        <w:rPr/>
      </w:pPr>
      <w:r>
        <w:rPr/>
        <w:t>(1)</w:t>
        <w:tab/>
        <w:t>All and each of the disputes and differences which have arisen (directly or indirectly) between the Claimant and the Respondent out of or in connection with the facts or matters set out or referred to in paragraphs 8 to 14 above and/or in connection with the events which have occurred, as set out also in paragraphs 8 to 14 above.</w:t>
      </w:r>
    </w:p>
    <w:p>
      <w:pPr>
        <w:pStyle w:val="1LevelPara"/>
        <w:numPr>
          <w:ilvl w:val="0"/>
          <w:numId w:val="0"/>
        </w:numPr>
        <w:ind w:hanging="720" w:start="1440" w:end="0"/>
        <w:rPr/>
      </w:pPr>
      <w:r>
        <w:rPr/>
        <w:t>(2)</w:t>
        <w:tab/>
        <w:t>(a)</w:t>
        <w:tab/>
        <w:t>Without limitation to the generality of sub-paragraph 15(1) above, whether:-</w:t>
      </w:r>
    </w:p>
    <w:p>
      <w:pPr>
        <w:pStyle w:val="1LevelPara"/>
        <w:numPr>
          <w:ilvl w:val="0"/>
          <w:numId w:val="0"/>
        </w:numPr>
        <w:ind w:hanging="0" w:start="1440" w:end="0"/>
        <w:rPr/>
      </w:pPr>
      <w:r>
        <w:rPr/>
        <w:t>(i)</w:t>
        <w:tab/>
        <w:t>by reason of the facts or matters set out or referred to in paragraphs 7 to 14 above,</w:t>
      </w:r>
    </w:p>
    <w:p>
      <w:pPr>
        <w:pStyle w:val="1LevelPara"/>
        <w:numPr>
          <w:ilvl w:val="0"/>
          <w:numId w:val="0"/>
        </w:numPr>
        <w:ind w:hanging="0" w:start="1440" w:end="0"/>
        <w:rPr/>
      </w:pPr>
      <w:r>
        <w:rPr/>
        <w:t>(ii)</w:t>
        <w:tab/>
        <w:t>the events which have occurred, as also set out paragraphs 7 to 14 above and/or,</w:t>
      </w:r>
    </w:p>
    <w:p>
      <w:pPr>
        <w:pStyle w:val="1LevelPara"/>
        <w:numPr>
          <w:ilvl w:val="0"/>
          <w:numId w:val="0"/>
        </w:numPr>
        <w:ind w:hanging="0" w:start="1440" w:end="0"/>
        <w:rPr/>
      </w:pPr>
      <w:r>
        <w:rPr/>
        <w:t>(iii)</w:t>
        <w:tab/>
        <w:t xml:space="preserve">by reference to such other facts or matters set out in the Claimant’s Statement of Claim to be served herein under Article 18 of the UNCITRAL Arbitration Rules, </w:t>
      </w:r>
    </w:p>
    <w:p>
      <w:pPr>
        <w:pStyle w:val="1LevelPara"/>
        <w:numPr>
          <w:ilvl w:val="0"/>
          <w:numId w:val="0"/>
        </w:numPr>
        <w:ind w:hanging="0" w:start="1440" w:end="0"/>
        <w:rPr/>
      </w:pPr>
      <w:r>
        <w:rPr/>
        <w:t>the Respondent has committed breaches (</w:t>
      </w:r>
      <w:r>
        <w:rPr>
          <w:i/>
        </w:rPr>
        <w:t>inter alia</w:t>
      </w:r>
      <w:r>
        <w:rPr/>
        <w:t>) of the obligations owed by it to the Claimant (for itself and as a trustee for the Foreign Investors and the Lenders) arising under or out of (</w:t>
      </w:r>
      <w:r>
        <w:rPr>
          <w:i/>
        </w:rPr>
        <w:t>inter alia</w:t>
      </w:r>
      <w:r>
        <w:rPr/>
        <w:t>) Clauses 3.1, 3.2, 3.3, 6.2 and 6.3 of the GOM Support Agreement and Clause 2 of the Supplemental GOM Support Agreement.</w:t>
      </w:r>
    </w:p>
    <w:p>
      <w:pPr>
        <w:pStyle w:val="1LevelPara"/>
        <w:numPr>
          <w:ilvl w:val="0"/>
          <w:numId w:val="0"/>
        </w:numPr>
        <w:ind w:hanging="0" w:start="1440" w:end="0"/>
        <w:rPr/>
      </w:pPr>
      <w:r>
        <w:rPr/>
        <w:t>(b)</w:t>
        <w:tab/>
        <w:t>The Claimant will contend that the Respondent has committed breaches of Clauses 3.1, 3.2, 3.3, 6.2 and 6.3 of the GOM Support Agreement and Clause 2.2 of the Supplemental GOM Support Agreement.</w:t>
      </w:r>
    </w:p>
    <w:p>
      <w:pPr>
        <w:pStyle w:val="1LevelPara"/>
        <w:numPr>
          <w:ilvl w:val="0"/>
          <w:numId w:val="0"/>
        </w:numPr>
        <w:ind w:hanging="0" w:start="720" w:end="0"/>
        <w:rPr/>
      </w:pPr>
      <w:r>
        <w:rPr/>
        <w:t>(3)</w:t>
        <w:tab/>
        <w:t>The respective rights and obligations of the parties under the GOM Support Agreement and the Supplemental GOM Support Agreement.</w:t>
      </w:r>
    </w:p>
    <w:p>
      <w:pPr>
        <w:pStyle w:val="1LevelPara"/>
        <w:numPr>
          <w:ilvl w:val="0"/>
          <w:numId w:val="0"/>
        </w:numPr>
        <w:ind w:hanging="0" w:start="720" w:end="0"/>
        <w:rPr/>
      </w:pPr>
      <w:r>
        <w:rPr/>
        <w:t>(4)</w:t>
        <w:tab/>
        <w:t>The remedies to which the Claimant is entitled as against the Respondent by reason of the breaches of the GOM Support Agreement and the Supplemental GOM Support Agreement committed by the Respondent.</w:t>
      </w:r>
    </w:p>
    <w:p>
      <w:pPr>
        <w:pStyle w:val="Recitals"/>
        <w:numPr>
          <w:ilvl w:val="0"/>
          <w:numId w:val="0"/>
        </w:numPr>
        <w:ind w:firstLine="720" w:start="-720" w:end="0"/>
        <w:rPr>
          <w:b w:val="false"/>
        </w:rPr>
      </w:pPr>
      <w:r>
        <w:rPr>
          <w:b w:val="false"/>
        </w:rPr>
        <w:t>(3)</w:t>
        <w:tab/>
      </w:r>
      <w:r>
        <w:rPr>
          <w:b w:val="false"/>
          <w:u w:val="single"/>
        </w:rPr>
        <w:t>General Nature of the Claim</w:t>
      </w:r>
    </w:p>
    <w:p>
      <w:pPr>
        <w:pStyle w:val="1LevelPara"/>
        <w:numPr>
          <w:ilvl w:val="0"/>
          <w:numId w:val="18"/>
        </w:numPr>
        <w:ind w:hanging="0" w:start="0"/>
        <w:rPr/>
      </w:pPr>
      <w:r>
        <w:rPr/>
        <w:t>(1)</w:t>
        <w:tab/>
        <w:t>The Claimant claims declarations as follows:</w:t>
      </w:r>
    </w:p>
    <w:p>
      <w:pPr>
        <w:pStyle w:val="1LevelPara"/>
        <w:numPr>
          <w:ilvl w:val="0"/>
          <w:numId w:val="0"/>
        </w:numPr>
        <w:ind w:hanging="0" w:start="1440" w:end="0"/>
        <w:rPr/>
      </w:pPr>
      <w:r>
        <w:rPr/>
        <w:t>(a)</w:t>
        <w:tab/>
        <w:t>that the GOM Support Agreement and the Supplementary GOM Support Agreement are valid in accordance with their respective terms and conditions and that the Respondent is unconditionally and irrevocably bound by the obligations which it has assumed under those agreements;</w:t>
      </w:r>
    </w:p>
    <w:p>
      <w:pPr>
        <w:pStyle w:val="1LevelPara"/>
        <w:numPr>
          <w:ilvl w:val="0"/>
          <w:numId w:val="0"/>
        </w:numPr>
        <w:ind w:hanging="0" w:start="1440" w:end="0"/>
        <w:rPr/>
      </w:pPr>
      <w:r>
        <w:rPr/>
        <w:t>(b)</w:t>
        <w:tab/>
        <w:t>as to the rights of the Claimant under the GOM Support Agreement and the Supplemental GOM Support Agreement and the obligations of the Respondent thereunder, including (without limitation) declarations as to Claimant’s rights and the Respondents obligations under or pursuant to GOM Support Agreement and the Supplemental GOM Support Agreement the with respect to the matters in issue in the Disputes as set out and described and/or referred to in paragraph 15 above and the events which have occurred;</w:t>
      </w:r>
    </w:p>
    <w:p>
      <w:pPr>
        <w:pStyle w:val="1LevelPara"/>
        <w:numPr>
          <w:ilvl w:val="0"/>
          <w:numId w:val="0"/>
        </w:numPr>
        <w:ind w:hanging="0" w:start="1440" w:end="0"/>
        <w:rPr/>
      </w:pPr>
      <w:r>
        <w:rPr/>
        <w:t>(c)</w:t>
        <w:tab/>
        <w:t>that the Respondent is in default of its obligations under the GOM Support Agreement.</w:t>
      </w:r>
    </w:p>
    <w:p>
      <w:pPr>
        <w:pStyle w:val="1LevelPara"/>
        <w:numPr>
          <w:ilvl w:val="0"/>
          <w:numId w:val="0"/>
        </w:numPr>
        <w:ind w:hanging="0" w:start="720" w:end="0"/>
        <w:rPr/>
      </w:pPr>
      <w:r>
        <w:rPr/>
        <w:t>(2)</w:t>
        <w:tab/>
        <w:t>The Claimant claims the specific performance by the Respondent of each and every of the obligations imposed upon it under the GOM Support Agreement and the Supplemental GOM Support Agreement (as set out in the declarations to be sought by the Claimant) and an order that the Respondent forthwith performs in full, punctually and strictly in accordance with their respective terms and conditions, all such obligations.</w:t>
      </w:r>
    </w:p>
    <w:p>
      <w:pPr>
        <w:pStyle w:val="Recitals"/>
        <w:keepNext w:val="false"/>
        <w:numPr>
          <w:ilvl w:val="0"/>
          <w:numId w:val="0"/>
        </w:numPr>
        <w:spacing w:before="0" w:after="140"/>
        <w:ind w:hanging="0" w:start="720" w:end="0"/>
        <w:rPr>
          <w:b w:val="false"/>
        </w:rPr>
      </w:pPr>
      <w:r>
        <w:rPr>
          <w:b w:val="false"/>
        </w:rPr>
        <w:t>(3)</w:t>
        <w:tab/>
        <w:t xml:space="preserve">The Claimant claims damages for the losses sustained by it by reason of the breaches of the GOM Support Agreement and the Supplemental GOM Support Agreement committed by the Respondent including (without limitation) breaches Clauses 3.1, 3.2, 3.3, 6.2 and 6.3 of the GOM Support Agreement and Clause 2 of the Supplemental GOM Support Agreement. </w:t>
      </w:r>
    </w:p>
    <w:p>
      <w:pPr>
        <w:pStyle w:val="Recitals"/>
        <w:numPr>
          <w:ilvl w:val="0"/>
          <w:numId w:val="0"/>
        </w:numPr>
        <w:ind w:firstLine="720" w:start="-720" w:end="0"/>
        <w:rPr>
          <w:b w:val="false"/>
        </w:rPr>
      </w:pPr>
      <w:r>
        <w:rPr>
          <w:b w:val="false"/>
        </w:rPr>
        <w:t>(4)</w:t>
        <w:tab/>
      </w:r>
      <w:r>
        <w:rPr>
          <w:b w:val="false"/>
          <w:u w:val="single"/>
        </w:rPr>
        <w:t>Amount of the Claim</w:t>
      </w:r>
    </w:p>
    <w:p>
      <w:pPr>
        <w:pStyle w:val="1LevelPara"/>
        <w:numPr>
          <w:ilvl w:val="0"/>
          <w:numId w:val="18"/>
        </w:numPr>
        <w:ind w:hanging="0" w:start="0" w:end="0"/>
        <w:rPr/>
      </w:pPr>
      <w:r>
        <w:rPr/>
        <w:t>The amount of the Claimant’s claim for damages is a sum in excess of U.S.$50,000,000.</w:t>
      </w:r>
    </w:p>
    <w:p>
      <w:pPr>
        <w:pStyle w:val="Recitals"/>
        <w:numPr>
          <w:ilvl w:val="0"/>
          <w:numId w:val="0"/>
        </w:numPr>
        <w:ind w:firstLine="720" w:start="-720" w:end="0"/>
        <w:rPr>
          <w:b w:val="false"/>
        </w:rPr>
      </w:pPr>
      <w:r>
        <w:rPr>
          <w:b w:val="false"/>
        </w:rPr>
        <w:t>(5)</w:t>
        <w:tab/>
      </w:r>
      <w:r>
        <w:rPr>
          <w:b w:val="false"/>
          <w:u w:val="single"/>
        </w:rPr>
        <w:t>Relief or Remedy Sought by the Claimant</w:t>
      </w:r>
    </w:p>
    <w:p>
      <w:pPr>
        <w:pStyle w:val="1LevelPara"/>
        <w:numPr>
          <w:ilvl w:val="0"/>
          <w:numId w:val="18"/>
        </w:numPr>
        <w:ind w:hanging="0" w:start="0"/>
        <w:rPr/>
      </w:pPr>
      <w:r>
        <w:rPr/>
        <w:t>(1)</w:t>
        <w:tab/>
        <w:t>declarations as to the rights of the Claimant under the GOI Guarantee and the obligations of the Respondent thereunder in accordance with paragraph 16(1) above or otherwise;</w:t>
      </w:r>
    </w:p>
    <w:p>
      <w:pPr>
        <w:pStyle w:val="1LevelPara"/>
        <w:numPr>
          <w:ilvl w:val="0"/>
          <w:numId w:val="0"/>
        </w:numPr>
        <w:ind w:hanging="0" w:start="720" w:end="0"/>
        <w:rPr/>
      </w:pPr>
      <w:r>
        <w:rPr/>
        <w:t>(2)</w:t>
        <w:tab/>
        <w:t>specific performance by the Respondent in accordance with paragraph 16(2) above;</w:t>
      </w:r>
    </w:p>
    <w:p>
      <w:pPr>
        <w:pStyle w:val="1LevelPara"/>
        <w:numPr>
          <w:ilvl w:val="0"/>
          <w:numId w:val="0"/>
        </w:numPr>
        <w:ind w:hanging="0" w:start="720" w:end="0"/>
        <w:rPr/>
      </w:pPr>
      <w:r>
        <w:rPr/>
        <w:t>(3)</w:t>
        <w:tab/>
        <w:t>damages;</w:t>
      </w:r>
    </w:p>
    <w:p>
      <w:pPr>
        <w:pStyle w:val="1LevelPara"/>
        <w:numPr>
          <w:ilvl w:val="0"/>
          <w:numId w:val="0"/>
        </w:numPr>
        <w:ind w:hanging="0" w:start="720" w:end="0"/>
        <w:rPr/>
      </w:pPr>
      <w:r>
        <w:rPr/>
        <w:t>(4)</w:t>
        <w:tab/>
        <w:t>further or other relief;</w:t>
      </w:r>
    </w:p>
    <w:p>
      <w:pPr>
        <w:pStyle w:val="1LevelPara"/>
        <w:numPr>
          <w:ilvl w:val="0"/>
          <w:numId w:val="0"/>
        </w:numPr>
        <w:ind w:hanging="0" w:start="720" w:end="0"/>
        <w:rPr/>
      </w:pPr>
      <w:r>
        <w:rPr/>
        <w:t>(5)</w:t>
        <w:tab/>
        <w:t>the costs of and occasioned by these arbitral proceedings.</w:t>
      </w:r>
    </w:p>
    <w:p>
      <w:pPr>
        <w:pStyle w:val="Recitals"/>
        <w:numPr>
          <w:ilvl w:val="0"/>
          <w:numId w:val="3"/>
        </w:numPr>
        <w:ind w:hanging="0" w:start="0"/>
        <w:rPr/>
      </w:pPr>
      <w:r>
        <w:rPr>
          <w:u w:val="single"/>
        </w:rPr>
        <w:t>Number of and Nationality of the Arbitrators</w:t>
      </w:r>
    </w:p>
    <w:p>
      <w:pPr>
        <w:pStyle w:val="1LevelPara"/>
        <w:numPr>
          <w:ilvl w:val="0"/>
          <w:numId w:val="18"/>
        </w:numPr>
        <w:ind w:hanging="0" w:start="0"/>
        <w:rPr/>
      </w:pPr>
      <w:r>
        <w:rPr/>
        <w:t>(1)</w:t>
        <w:tab/>
        <w:t>The parties have previously agreed, pursuant to Clauses 11.1 to 11.3 of the GOM Support Agreement and to Clause 5.2 of the Supplemental GOM Support Agreement, that the number of arbitrators shall be three.</w:t>
      </w:r>
    </w:p>
    <w:p>
      <w:pPr>
        <w:pStyle w:val="1LevelPara"/>
        <w:numPr>
          <w:ilvl w:val="0"/>
          <w:numId w:val="0"/>
        </w:numPr>
        <w:ind w:hanging="0" w:start="720" w:end="0"/>
        <w:rPr/>
      </w:pPr>
      <w:r>
        <w:rPr/>
        <w:t>(2)</w:t>
        <w:tab/>
        <w:t>The parties have further previously agreed, pursuant to the provisions of the GOM Support Agreement and the Supplemental GOM Support Agreement, that no arbitrator shall be a national of India or of the United States of America.</w:t>
      </w:r>
    </w:p>
    <w:p>
      <w:pPr>
        <w:pStyle w:val="Recitals"/>
        <w:numPr>
          <w:ilvl w:val="0"/>
          <w:numId w:val="3"/>
        </w:numPr>
        <w:ind w:hanging="0" w:start="0"/>
        <w:rPr/>
      </w:pPr>
      <w:r>
        <w:rPr>
          <w:u w:val="single"/>
        </w:rPr>
        <w:t>Appointment of Arbitrator by the Claimant</w:t>
      </w:r>
    </w:p>
    <w:p>
      <w:pPr>
        <w:pStyle w:val="1LevelPara"/>
        <w:numPr>
          <w:ilvl w:val="0"/>
          <w:numId w:val="18"/>
        </w:numPr>
        <w:ind w:hanging="0" w:start="0" w:end="0"/>
        <w:rPr/>
      </w:pPr>
      <w:r>
        <w:rPr/>
        <w:t>The Claimant notifies the Respondent that, in each of the references to arbitration begun in terms of this Notice of Arbitration, the Claimant has appointed the person named below as an arbitrator in accordance with Article 7 of the UNCITRAL Arbitration Rules:</w:t>
      </w:r>
    </w:p>
    <w:p>
      <w:pPr>
        <w:pStyle w:val="1LevelPara"/>
        <w:numPr>
          <w:ilvl w:val="0"/>
          <w:numId w:val="0"/>
        </w:numPr>
        <w:ind w:hanging="0" w:start="720" w:end="0"/>
        <w:rPr/>
      </w:pPr>
      <w:r>
        <w:rPr/>
        <w:t>The Honourable Andrew John Rogers Q.C. (formerly Chief Judge of the Commercial Division of the Supreme Court of New South Wales) of Level 7, 233 Macquarie Street, Sydney 2000, Australia.</w:t>
      </w:r>
    </w:p>
    <w:p>
      <w:pPr>
        <w:pStyle w:val="1LevelPara"/>
        <w:numPr>
          <w:ilvl w:val="0"/>
          <w:numId w:val="0"/>
        </w:numPr>
        <w:ind w:hanging="720" w:start="720" w:end="0"/>
        <w:rPr/>
      </w:pPr>
      <w:r>
        <w:rPr/>
        <w:t>The person appointed is a national of the Commonwealth of Australia.</w:t>
      </w:r>
    </w:p>
    <w:p>
      <w:pPr>
        <w:pStyle w:val="Recitals"/>
        <w:numPr>
          <w:ilvl w:val="0"/>
          <w:numId w:val="3"/>
        </w:numPr>
        <w:ind w:hanging="0" w:start="0"/>
        <w:rPr/>
      </w:pPr>
      <w:r>
        <w:rPr>
          <w:u w:val="single"/>
        </w:rPr>
        <w:t>Notice to the Respondent to Appoint an Arbitrator</w:t>
      </w:r>
    </w:p>
    <w:p>
      <w:pPr>
        <w:pStyle w:val="1LevelPara"/>
        <w:numPr>
          <w:ilvl w:val="0"/>
          <w:numId w:val="18"/>
        </w:numPr>
        <w:ind w:hanging="0" w:start="0" w:end="0"/>
        <w:rPr/>
      </w:pPr>
      <w:r>
        <w:rPr/>
        <w:t xml:space="preserve">The Claimant calls upon the Respondent to appoint an arbitrator, in each of the references to arbitration begun in terms of this Notice of Arbitration, within a period of thirty days. The Claimant calls to the attention of the Respondent the provisions of Article 7 of the UNCITRAL Arbitration Rules with respect to the appointment by the Respondent of an </w:t>
        <w:br/>
        <w:br/>
      </w:r>
      <w:r>
        <w:br w:type="page"/>
      </w:r>
    </w:p>
    <w:p>
      <w:pPr>
        <w:pStyle w:val="1LevelPara"/>
        <w:numPr>
          <w:ilvl w:val="0"/>
          <w:numId w:val="0"/>
        </w:numPr>
        <w:ind w:hanging="0" w:start="0"/>
        <w:rPr/>
      </w:pPr>
      <w:r>
        <w:rPr/>
        <w:t xml:space="preserve">arbitrator and to the procedures available to the Claimant in the event that the Respondent has not within thirty days after the receipt of this Notice of Arbitration appointed an arbitrator. </w:t>
      </w:r>
    </w:p>
    <w:p>
      <w:pPr>
        <w:pStyle w:val="1LevelPara"/>
        <w:numPr>
          <w:ilvl w:val="0"/>
          <w:numId w:val="0"/>
        </w:numPr>
        <w:spacing w:lineRule="auto" w:line="240" w:before="0" w:after="0"/>
        <w:ind w:hanging="0" w:start="0"/>
        <w:rPr/>
      </w:pPr>
      <w:r>
        <w:rPr/>
      </w:r>
    </w:p>
    <w:p>
      <w:pPr>
        <w:pStyle w:val="1LevelPara"/>
        <w:numPr>
          <w:ilvl w:val="0"/>
          <w:numId w:val="0"/>
        </w:numPr>
        <w:spacing w:lineRule="auto" w:line="240" w:before="0" w:after="0"/>
        <w:ind w:hanging="0" w:start="0"/>
        <w:rPr/>
      </w:pPr>
      <w:r>
        <w:rPr/>
      </w:r>
    </w:p>
    <w:p>
      <w:pPr>
        <w:pStyle w:val="1LevelPara"/>
        <w:numPr>
          <w:ilvl w:val="0"/>
          <w:numId w:val="0"/>
        </w:numPr>
        <w:ind w:hanging="0" w:start="0"/>
        <w:rPr>
          <w:b/>
        </w:rPr>
      </w:pPr>
      <w:r>
        <w:rPr>
          <w:b/>
        </w:rPr>
        <w:t>For and on behalf of the Dabhol Power Company:</w:t>
      </w:r>
    </w:p>
    <w:p>
      <w:pPr>
        <w:pStyle w:val="1LevelPara"/>
        <w:numPr>
          <w:ilvl w:val="0"/>
          <w:numId w:val="0"/>
        </w:numPr>
        <w:ind w:hanging="0" w:start="0"/>
        <w:rPr>
          <w:b/>
        </w:rPr>
      </w:pPr>
      <w:r>
        <w:rPr>
          <w:b/>
        </w:rPr>
      </w:r>
    </w:p>
    <w:p>
      <w:pPr>
        <w:pStyle w:val="1LevelPara"/>
        <w:numPr>
          <w:ilvl w:val="0"/>
          <w:numId w:val="0"/>
        </w:numPr>
        <w:ind w:hanging="0" w:start="0"/>
        <w:rPr>
          <w:b/>
        </w:rPr>
      </w:pPr>
      <w:r>
        <w:rPr>
          <w:b/>
        </w:rPr>
        <w:t>Signature:</w:t>
      </w:r>
    </w:p>
    <w:p>
      <w:pPr>
        <w:pStyle w:val="1LevelPara"/>
        <w:numPr>
          <w:ilvl w:val="0"/>
          <w:numId w:val="0"/>
        </w:numPr>
        <w:ind w:hanging="0" w:start="0"/>
        <w:rPr>
          <w:b/>
        </w:rPr>
      </w:pPr>
      <w:r>
        <w:rPr>
          <w:b/>
        </w:rPr>
        <w:t>Name:</w:t>
      </w:r>
    </w:p>
    <w:p>
      <w:pPr>
        <w:pStyle w:val="1LevelPara"/>
        <w:numPr>
          <w:ilvl w:val="0"/>
          <w:numId w:val="0"/>
        </w:numPr>
        <w:ind w:hanging="0" w:start="0"/>
        <w:rPr>
          <w:b/>
        </w:rPr>
      </w:pPr>
      <w:r>
        <w:rPr>
          <w:b/>
        </w:rPr>
        <w:t>Designation:</w:t>
      </w:r>
    </w:p>
    <w:p>
      <w:pPr>
        <w:pStyle w:val="1LevelPara"/>
        <w:keepNext w:val="true"/>
        <w:numPr>
          <w:ilvl w:val="0"/>
          <w:numId w:val="0"/>
        </w:numPr>
        <w:spacing w:before="0" w:after="0"/>
        <w:ind w:hanging="0" w:start="0"/>
        <w:rPr/>
      </w:pPr>
      <w:r>
        <w:rPr>
          <w:b/>
        </w:rPr>
        <w:t>Date:</w:t>
      </w:r>
      <w:r>
        <w:rPr/>
        <w:tab/>
        <w:tab/>
      </w:r>
      <w:r>
        <w:rPr>
          <w:rFonts w:eastAsia="Symbol" w:cs="Symbol" w:ascii="Symbol" w:hAnsi="Symbol"/>
        </w:rPr>
        <w:sym w:font="Symbol" w:char="f0b7"/>
      </w:r>
      <w:r>
        <w:rPr/>
        <w:t xml:space="preserve"> April 2001</w:t>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pPr>
      <w:r>
        <w:rPr>
          <w:b/>
        </w:rPr>
        <w:t>Served</w:t>
      </w:r>
      <w:r>
        <w:rPr/>
        <w:t xml:space="preserve"> this </w:t>
      </w:r>
      <w:r>
        <w:rPr>
          <w:rFonts w:eastAsia="Symbol" w:cs="Symbol" w:ascii="Symbol" w:hAnsi="Symbol"/>
        </w:rPr>
        <w:sym w:font="Symbol" w:char="f0b7"/>
      </w:r>
      <w:r>
        <w:rPr/>
        <w:t xml:space="preserve"> day of April 2001 by Messrs Linklaters of Alexandra House (10</w:t>
      </w:r>
      <w:r>
        <w:rPr>
          <w:vertAlign w:val="superscript"/>
        </w:rPr>
        <w:t>th</w:t>
      </w:r>
      <w:r>
        <w:rPr/>
        <w:t xml:space="preserve"> floor), 16-20 Chater Road, Central, Hong Kong, Solicitors for the Claimant.</w:t>
      </w:r>
      <w:r>
        <w:br w:type="page"/>
      </w:r>
    </w:p>
    <w:p>
      <w:pPr>
        <w:pStyle w:val="Heading10"/>
        <w:jc w:val="center"/>
        <w:rPr>
          <w:u w:val="single"/>
        </w:rPr>
      </w:pPr>
      <w:r>
        <w:rPr>
          <w:u w:val="single"/>
        </w:rPr>
        <w:t>Annexure</w:t>
      </w:r>
    </w:p>
    <w:p>
      <w:pPr>
        <w:pStyle w:val="1LevelPara"/>
        <w:keepNext w:val="true"/>
        <w:numPr>
          <w:ilvl w:val="0"/>
          <w:numId w:val="0"/>
        </w:numPr>
        <w:spacing w:lineRule="auto" w:line="240"/>
        <w:ind w:hanging="0" w:start="720" w:end="0"/>
        <w:rPr>
          <w:i/>
          <w:i/>
          <w:u w:val="single"/>
        </w:rPr>
      </w:pPr>
      <w:r>
        <w:rPr>
          <w:i/>
          <w:u w:val="single"/>
        </w:rPr>
      </w:r>
    </w:p>
    <w:p>
      <w:pPr>
        <w:pStyle w:val="1LevelPara"/>
        <w:numPr>
          <w:ilvl w:val="0"/>
          <w:numId w:val="0"/>
        </w:numPr>
        <w:spacing w:lineRule="auto" w:line="240"/>
        <w:ind w:hanging="0" w:start="0"/>
        <w:rPr>
          <w:i/>
          <w:i/>
        </w:rPr>
      </w:pPr>
      <w:r>
        <w:rPr>
          <w:i/>
        </w:rPr>
        <w:t>“</w:t>
      </w:r>
      <w:r>
        <w:rPr>
          <w:i/>
        </w:rPr>
        <w:t>11.</w:t>
        <w:tab/>
        <w:t>Arbitration</w:t>
      </w:r>
    </w:p>
    <w:p>
      <w:pPr>
        <w:pStyle w:val="1LevelPara"/>
        <w:numPr>
          <w:ilvl w:val="0"/>
          <w:numId w:val="0"/>
        </w:numPr>
        <w:spacing w:lineRule="auto" w:line="240"/>
        <w:ind w:hanging="0" w:start="0"/>
        <w:rPr>
          <w:i/>
          <w:i/>
        </w:rPr>
      </w:pPr>
      <w:r>
        <w:rPr>
          <w:i/>
        </w:rPr>
        <w:t>11.1</w:t>
        <w:tab/>
        <w:t>Reference to arbitration</w:t>
      </w:r>
    </w:p>
    <w:p>
      <w:pPr>
        <w:pStyle w:val="1LevelPara"/>
        <w:numPr>
          <w:ilvl w:val="0"/>
          <w:numId w:val="0"/>
        </w:numPr>
        <w:spacing w:lineRule="auto" w:line="240"/>
        <w:ind w:hanging="0" w:start="0"/>
        <w:rPr>
          <w:i/>
          <w:i/>
        </w:rPr>
      </w:pPr>
      <w:r>
        <w:rPr>
          <w:i/>
        </w:rPr>
        <w:t>(a)</w:t>
        <w:tab/>
        <w:t>Any dispute or differences (each a “dispute”) arising out of or in connection with this Agreement shall (regardless of the nature of the dispute) be referred to arbitration in accordance with the provisions of the UNCITRAL Arbitration Rules (i.e. the Arbitration Rules of the United Nations Commission on International Trade Law set out in Resolution 31/98 adopted by the General Assembly on 15 December 1976 and referred to herein as “the Rules” as at present in force by a panel of three arbitrators (or such lesser number as the parties may agree) appointed in accordance with the Rules.</w:t>
      </w:r>
    </w:p>
    <w:p>
      <w:pPr>
        <w:pStyle w:val="1LevelPara"/>
        <w:numPr>
          <w:ilvl w:val="0"/>
          <w:numId w:val="0"/>
        </w:numPr>
        <w:spacing w:lineRule="auto" w:line="240"/>
        <w:ind w:hanging="0" w:start="0"/>
        <w:rPr>
          <w:i/>
          <w:i/>
        </w:rPr>
      </w:pPr>
      <w:r>
        <w:rPr>
          <w:i/>
        </w:rPr>
        <w:t>(b)</w:t>
        <w:tab/>
        <w:t>Where the Rules do not deal with any issue arising in connection with the conduct and or procedure of the arbitration such issue shall be resolved in accordance with the law of the place in which the arbitrator is held.</w:t>
      </w:r>
    </w:p>
    <w:p>
      <w:pPr>
        <w:pStyle w:val="1LevelPara"/>
        <w:numPr>
          <w:ilvl w:val="0"/>
          <w:numId w:val="0"/>
        </w:numPr>
        <w:spacing w:lineRule="auto" w:line="240"/>
        <w:ind w:hanging="0" w:start="0"/>
        <w:rPr>
          <w:i/>
          <w:i/>
        </w:rPr>
      </w:pPr>
      <w:r>
        <w:rPr>
          <w:i/>
        </w:rPr>
        <w:t>(c)</w:t>
        <w:tab/>
        <w:t>The New York Convention on the Recognition and Enforcement of Foreign Arbitral Awards (“the Convention”) shall apply to any award resulting from an arbitration pursuant to this Clause and any such award shall for the purposes of the Convention, the laws of India and the laws of any other country in which the recognition and/or enforcement of the award may be sought, be treated as relating to a dispute or disputes arising out of a commercial legal relationship and not as domestic award.</w:t>
      </w:r>
    </w:p>
    <w:p>
      <w:pPr>
        <w:pStyle w:val="1LevelPara"/>
        <w:numPr>
          <w:ilvl w:val="0"/>
          <w:numId w:val="0"/>
        </w:numPr>
        <w:spacing w:lineRule="auto" w:line="240"/>
        <w:ind w:hanging="0" w:start="0"/>
        <w:rPr>
          <w:i/>
          <w:i/>
        </w:rPr>
      </w:pPr>
      <w:r>
        <w:rPr>
          <w:i/>
        </w:rPr>
        <w:t>(d)</w:t>
        <w:tab/>
        <w:t>Any dispute arising after the date on which no amount is owed or capable of being owed to the lenders under the relevant Financing Agreements shall be finally settled by arbitration under the Arbitration Acts of India.</w:t>
      </w:r>
    </w:p>
    <w:p>
      <w:pPr>
        <w:pStyle w:val="1LevelPara"/>
        <w:numPr>
          <w:ilvl w:val="0"/>
          <w:numId w:val="0"/>
        </w:numPr>
        <w:spacing w:lineRule="auto" w:line="240"/>
        <w:ind w:hanging="0" w:start="0"/>
        <w:rPr>
          <w:i/>
          <w:i/>
        </w:rPr>
      </w:pPr>
      <w:r>
        <w:rPr>
          <w:i/>
        </w:rPr>
        <w:t>(e)</w:t>
        <w:tab/>
        <w:t>Arbitration proceedings pursuant to paragraph (a) shall be held in London Arbitration proceedings conducted pursuant to paragraph (d) shall be held in New Delhi, India.</w:t>
      </w:r>
    </w:p>
    <w:p>
      <w:pPr>
        <w:pStyle w:val="1LevelPara"/>
        <w:numPr>
          <w:ilvl w:val="0"/>
          <w:numId w:val="0"/>
        </w:numPr>
        <w:spacing w:lineRule="auto" w:line="240"/>
        <w:ind w:hanging="0" w:start="0"/>
        <w:rPr>
          <w:i/>
          <w:i/>
        </w:rPr>
      </w:pPr>
      <w:r>
        <w:rPr>
          <w:i/>
        </w:rPr>
        <w:t>11.2</w:t>
        <w:tab/>
        <w:t>Nationality of arbitrator</w:t>
      </w:r>
    </w:p>
    <w:p>
      <w:pPr>
        <w:pStyle w:val="1LevelPara"/>
        <w:numPr>
          <w:ilvl w:val="0"/>
          <w:numId w:val="0"/>
        </w:numPr>
        <w:spacing w:lineRule="auto" w:line="240"/>
        <w:ind w:hanging="0" w:start="0"/>
        <w:rPr>
          <w:i/>
          <w:i/>
        </w:rPr>
      </w:pPr>
      <w:r>
        <w:rPr>
          <w:i/>
        </w:rPr>
        <w:tab/>
        <w:t>No arbitrator appointed pursuant to Clause 11.1 shall be a national of India or of the United States.</w:t>
      </w:r>
    </w:p>
    <w:p>
      <w:pPr>
        <w:pStyle w:val="1LevelPara"/>
        <w:numPr>
          <w:ilvl w:val="0"/>
          <w:numId w:val="0"/>
        </w:numPr>
        <w:spacing w:lineRule="auto" w:line="240"/>
        <w:ind w:hanging="0" w:start="0"/>
        <w:rPr>
          <w:i/>
          <w:i/>
        </w:rPr>
      </w:pPr>
      <w:r>
        <w:rPr>
          <w:i/>
        </w:rPr>
        <w:t>11.3</w:t>
        <w:tab/>
        <w:t>Language</w:t>
      </w:r>
    </w:p>
    <w:p>
      <w:pPr>
        <w:sectPr>
          <w:footerReference w:type="default" r:id="rId2"/>
          <w:type w:val="nextPage"/>
          <w:pgSz w:w="11906" w:h="16838"/>
          <w:pgMar w:left="1800" w:right="1800" w:gutter="0" w:header="0" w:top="1620" w:footer="576" w:bottom="1530"/>
          <w:pgNumType w:fmt="decimal"/>
          <w:formProt w:val="false"/>
          <w:textDirection w:val="lrTb"/>
          <w:docGrid w:type="default" w:linePitch="360" w:charSpace="0"/>
        </w:sectPr>
        <w:pStyle w:val="1LevelPara"/>
        <w:numPr>
          <w:ilvl w:val="0"/>
          <w:numId w:val="0"/>
        </w:numPr>
        <w:spacing w:lineRule="auto" w:line="480"/>
        <w:ind w:hanging="0" w:start="0"/>
        <w:rPr/>
      </w:pPr>
      <w:r>
        <w:rPr>
          <w:i/>
        </w:rPr>
        <w:tab/>
        <w:t>The language of any arbitration under this  Clause shall be English.”</w:t>
      </w:r>
      <w:r>
        <w:rPr/>
        <w:t xml:space="preserve"> </w:t>
      </w:r>
      <w:r>
        <w:br w:type="page"/>
      </w:r>
    </w:p>
    <w:p>
      <w:pPr>
        <w:pStyle w:val="Heading10"/>
        <w:jc w:val="center"/>
        <w:rPr>
          <w:u w:val="single"/>
        </w:rPr>
      </w:pPr>
      <w:r>
        <w:rPr>
          <w:u w:val="single"/>
        </w:rPr>
        <w:t>Schedule</w:t>
      </w:r>
    </w:p>
    <w:p>
      <w:pPr>
        <w:pStyle w:val="Heading10"/>
        <w:jc w:val="center"/>
        <w:rPr>
          <w:u w:val="single"/>
        </w:rPr>
      </w:pPr>
      <w:r>
        <w:rPr>
          <w:u w:val="single"/>
        </w:rPr>
      </w:r>
    </w:p>
    <w:tbl>
      <w:tblPr>
        <w:tblW w:w="8520" w:type="dxa"/>
        <w:jc w:val="start"/>
        <w:tblInd w:w="0" w:type="dxa"/>
        <w:tblLayout w:type="fixed"/>
        <w:tblCellMar>
          <w:top w:w="0" w:type="dxa"/>
          <w:start w:w="108" w:type="dxa"/>
          <w:bottom w:w="0" w:type="dxa"/>
          <w:end w:w="108" w:type="dxa"/>
        </w:tblCellMar>
      </w:tblPr>
      <w:tblGrid>
        <w:gridCol w:w="1188"/>
        <w:gridCol w:w="2520"/>
        <w:gridCol w:w="4812"/>
      </w:tblGrid>
      <w:tr>
        <w:trPr>
          <w:tblHeader w:val="true"/>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60" w:after="60"/>
              <w:ind w:hanging="0" w:start="0"/>
              <w:jc w:val="center"/>
              <w:rPr>
                <w:b/>
              </w:rPr>
            </w:pPr>
            <w:r>
              <w:rPr>
                <w:b/>
              </w:rPr>
              <w:t>Date</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60" w:after="60"/>
              <w:ind w:hanging="0" w:start="0"/>
              <w:jc w:val="center"/>
              <w:rPr>
                <w:b/>
              </w:rPr>
            </w:pPr>
            <w:r>
              <w:rPr>
                <w:b/>
              </w:rPr>
              <w:t>Publication</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60" w:after="60"/>
              <w:ind w:hanging="0" w:start="0"/>
              <w:jc w:val="center"/>
              <w:rPr>
                <w:b/>
              </w:rPr>
            </w:pPr>
            <w:r>
              <w:rPr>
                <w:b/>
              </w:rPr>
              <w:t>Article Headline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17.11.00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review Dabhol power project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MSEB to review viability of Dabhol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Enron cannot solve State’s power problem but can create other problems”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Mid-day</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may scrap Enron’s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Pressure grows on state to scrap Dabhol II, junk PPA”</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renegotiate Enron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govt to renegotiate power rates with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Maharashtra will ask Enron to lower power tariff”</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Expert moots ways to get out of DPC”</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10.12.00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reviewing Enron deal”</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14.12.00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should oust Enron: Minister”</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Asian Age</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Maharashtra to review Dabhol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20.12.00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Threat to scrap Enron project real, says CM”</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9.1.01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Retd judge may head review panel on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make DPC wait it out for dues payment”</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3.2.01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Times of India</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MSEB not in a position to buy power from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rejects move”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 xml:space="preserve">Central intervention in DPC issue must: Patil” </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DPC invokes counter-guarantee for recovering dues from MSEB”</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Deshmukh throws his hands up”</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MPCB to probe DPC’s “violation” of norms”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Enron: State directs MPCB to probe into pollution complaint”</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Prope DPC emission norms violation”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13.3.01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Sakal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Govt. gives indications of action against Enron for causing pollution”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17.3.01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Centre asked not to give counter guarantee to DPC”</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Save State from Enron, Vilasrao prays Centre”</w:t>
            </w:r>
          </w:p>
        </w:tc>
      </w:tr>
    </w:tbl>
    <w:p>
      <w:pPr>
        <w:sectPr>
          <w:headerReference w:type="default" r:id="rId3"/>
          <w:footerReference w:type="default" r:id="rId4"/>
          <w:footerReference w:type="first" r:id="rId5"/>
          <w:type w:val="nextPage"/>
          <w:pgSz w:w="11906" w:h="16838"/>
          <w:pgMar w:left="1800" w:right="1800" w:gutter="0" w:header="720" w:top="1620" w:footer="576" w:bottom="1530"/>
          <w:pgNumType w:fmt="decimal"/>
          <w:formProt w:val="false"/>
          <w:textDirection w:val="lrTb"/>
          <w:docGrid w:type="default" w:linePitch="360" w:charSpace="0"/>
        </w:sectPr>
        <w:pStyle w:val="1LevelPara"/>
        <w:numPr>
          <w:ilvl w:val="0"/>
          <w:numId w:val="0"/>
        </w:numPr>
        <w:spacing w:lineRule="auto" w:line="240" w:before="0" w:after="240"/>
        <w:ind w:hanging="720" w:start="720" w:end="0"/>
        <w:rPr/>
      </w:pPr>
      <w:r>
        <w:rPr/>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ind w:start="3600" w:end="0"/>
        <w:rPr>
          <w:u w:val="single"/>
        </w:rPr>
      </w:pPr>
      <w:r>
        <w:rPr>
          <w:u w:val="single"/>
        </w:rPr>
        <w:t>AND</w:t>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TWO ARBITRATIONS</w:t>
        <w:br/>
        <w:t>(UNDER THE UNCITRAL ARBITRATION RULES)</w:t>
      </w:r>
    </w:p>
    <w:p>
      <w:pPr>
        <w:pStyle w:val="Heading10"/>
        <w:tabs>
          <w:tab w:val="left" w:pos="720" w:leader="none"/>
          <w:tab w:val="left" w:pos="1440" w:leader="none"/>
        </w:tabs>
        <w:spacing w:lineRule="auto" w:line="360"/>
        <w:ind w:start="3600" w:end="0"/>
        <w:jc w:val="center"/>
        <w:rPr>
          <w:u w:val="single"/>
        </w:rPr>
      </w:pPr>
      <w:r>
        <w:rPr>
          <w:u w:val="single"/>
        </w:rPr>
      </w:r>
    </w:p>
    <w:p>
      <w:pPr>
        <w:pStyle w:val="Heading10"/>
        <w:tabs>
          <w:tab w:val="left" w:pos="720" w:leader="none"/>
          <w:tab w:val="left" w:pos="1440" w:leader="none"/>
        </w:tabs>
        <w:spacing w:lineRule="auto" w:line="360"/>
        <w:ind w:start="3600" w:end="0"/>
        <w:rPr/>
      </w:pPr>
      <w:r>
        <w:rPr/>
        <w:t>BETWEEN:-</w:t>
      </w:r>
    </w:p>
    <w:p>
      <w:pPr>
        <w:pStyle w:val="Heading10"/>
        <w:tabs>
          <w:tab w:val="left" w:pos="720" w:leader="none"/>
          <w:tab w:val="left" w:pos="1440" w:leader="none"/>
        </w:tabs>
        <w:spacing w:lineRule="auto" w:line="360"/>
        <w:ind w:start="3600" w:end="0"/>
        <w:jc w:val="center"/>
        <w:rPr/>
      </w:pPr>
      <w:r>
        <w:rPr/>
        <w:t>DABHOL POWER COMPANY</w:t>
      </w:r>
    </w:p>
    <w:p>
      <w:pPr>
        <w:pStyle w:val="Heading10"/>
        <w:tabs>
          <w:tab w:val="left" w:pos="720" w:leader="none"/>
          <w:tab w:val="left" w:pos="1440" w:leader="none"/>
        </w:tabs>
        <w:spacing w:lineRule="auto" w:line="360" w:before="280" w:after="0"/>
        <w:ind w:start="3600" w:end="0"/>
        <w:jc w:val="end"/>
        <w:rPr>
          <w:u w:val="single"/>
        </w:rPr>
      </w:pPr>
      <w:r>
        <w:rPr>
          <w:u w:val="single"/>
        </w:rPr>
        <w:t>Claimant</w:t>
      </w:r>
    </w:p>
    <w:p>
      <w:pPr>
        <w:pStyle w:val="Heading10"/>
        <w:tabs>
          <w:tab w:val="left" w:pos="720" w:leader="none"/>
          <w:tab w:val="left" w:pos="1440" w:leader="none"/>
        </w:tabs>
        <w:spacing w:lineRule="auto" w:line="360"/>
        <w:ind w:start="3600" w:end="0"/>
        <w:jc w:val="center"/>
        <w:rPr/>
      </w:pPr>
      <w:r>
        <w:rPr/>
        <w:t>-and-</w:t>
      </w:r>
    </w:p>
    <w:p>
      <w:pPr>
        <w:pStyle w:val="Heading10"/>
        <w:tabs>
          <w:tab w:val="left" w:pos="720" w:leader="none"/>
          <w:tab w:val="left" w:pos="1440" w:leader="none"/>
        </w:tabs>
        <w:spacing w:lineRule="auto" w:line="360" w:before="280" w:after="0"/>
        <w:ind w:start="3600" w:end="0"/>
        <w:jc w:val="center"/>
        <w:rPr/>
      </w:pPr>
      <w:r>
        <w:rPr/>
        <w:t>THE STATE OF MAHARASHTRA</w:t>
      </w:r>
    </w:p>
    <w:p>
      <w:pPr>
        <w:pStyle w:val="Heading10"/>
        <w:tabs>
          <w:tab w:val="left" w:pos="720" w:leader="none"/>
          <w:tab w:val="left" w:pos="1440" w:leader="none"/>
        </w:tabs>
        <w:spacing w:lineRule="auto" w:line="360" w:before="280" w:after="0"/>
        <w:ind w:start="3600" w:end="0"/>
        <w:jc w:val="end"/>
        <w:rPr>
          <w:u w:val="single"/>
        </w:rPr>
      </w:pPr>
      <w:r>
        <w:rPr>
          <w:u w:val="single"/>
        </w:rPr>
        <w:t>Respondent</w:t>
      </w:r>
    </w:p>
    <w:p>
      <w:pPr>
        <w:pStyle w:val="Normal"/>
        <w:ind w:start="3600" w:end="0"/>
        <w:rPr>
          <w:u w:val="single"/>
        </w:rPr>
      </w:pPr>
      <w:r>
        <w:rPr>
          <w:u w:val="single"/>
        </w:rPr>
      </w:r>
    </w:p>
    <w:p>
      <w:pPr>
        <w:pStyle w:val="Normal"/>
        <w:ind w:start="3600" w:end="0"/>
        <w:rPr/>
      </w:pPr>
      <w:r>
        <w:rPr/>
      </w:r>
    </w:p>
    <w:p>
      <w:pPr>
        <w:pStyle w:val="Normal"/>
        <w:ind w:start="3600" w:end="0"/>
        <w:rPr/>
      </w:pPr>
      <w:r>
        <w:rPr/>
      </w:r>
    </w:p>
    <w:p>
      <w:pPr>
        <w:pStyle w:val="Heading10"/>
        <w:tabs>
          <w:tab w:val="left" w:pos="720" w:leader="none"/>
          <w:tab w:val="left" w:pos="1440" w:leader="none"/>
        </w:tabs>
        <w:spacing w:lineRule="auto" w:line="360"/>
        <w:ind w:start="3600" w:end="0"/>
        <w:jc w:val="center"/>
        <w:rPr>
          <w:b w:val="false"/>
          <w:u w:val="single"/>
        </w:rPr>
      </w:pPr>
      <w:r>
        <w:rPr>
          <w:b w:val="false"/>
          <w:u w:val="single"/>
        </w:rPr>
      </w:r>
    </w:p>
    <w:tbl>
      <w:tblPr>
        <w:tblW w:w="4856" w:type="dxa"/>
        <w:jc w:val="start"/>
        <w:tblInd w:w="4068"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ARBITRATION</w:t>
            </w:r>
          </w:p>
        </w:tc>
      </w:tr>
    </w:tbl>
    <w:p>
      <w:pPr>
        <w:pStyle w:val="Heading1"/>
        <w:spacing w:lineRule="auto" w:line="360" w:before="0" w:after="140"/>
        <w:ind w:hanging="0" w:start="3600" w:end="0"/>
        <w:rPr>
          <w:kern w:val="0"/>
          <w:u w:val="single"/>
        </w:rPr>
      </w:pPr>
      <w:r>
        <w:rPr>
          <w:kern w:val="0"/>
          <w:u w:val="single"/>
        </w:rPr>
      </w:r>
    </w:p>
    <w:p>
      <w:pPr>
        <w:pStyle w:val="Normal"/>
        <w:ind w:start="3600" w:end="0"/>
        <w:rPr>
          <w:kern w:val="0"/>
          <w:u w:val="single"/>
        </w:rPr>
      </w:pPr>
      <w:r>
        <w:rPr>
          <w:kern w:val="0"/>
          <w:u w:val="single"/>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rPr/>
      </w:pPr>
      <w:r>
        <w:rPr/>
      </w:r>
    </w:p>
    <w:p>
      <w:pPr>
        <w:pStyle w:val="Normal"/>
        <w:rPr/>
      </w:pPr>
      <w:r>
        <w:rPr/>
      </w:r>
    </w:p>
    <w:p>
      <w:pPr>
        <w:pStyle w:val="Normal"/>
        <w:spacing w:lineRule="auto" w:line="240"/>
        <w:ind w:start="5040" w:end="0"/>
        <w:rPr>
          <w:rFonts w:ascii="Times" w:hAnsi="Times" w:cs="Times"/>
          <w:sz w:val="22"/>
        </w:rPr>
      </w:pPr>
      <w:r>
        <w:rPr>
          <w:rFonts w:cs="Times" w:ascii="Times" w:hAnsi="Times"/>
          <w:sz w:val="22"/>
        </w:rPr>
        <w:t>Messrs. Linklaters.</w:t>
      </w:r>
    </w:p>
    <w:p>
      <w:pPr>
        <w:pStyle w:val="Normal"/>
        <w:spacing w:lineRule="auto" w:line="240"/>
        <w:ind w:start="5040" w:end="0"/>
        <w:rPr>
          <w:rFonts w:ascii="Times" w:hAnsi="Times" w:cs="Times"/>
          <w:sz w:val="22"/>
        </w:rPr>
      </w:pPr>
      <w:r>
        <w:rPr>
          <w:rFonts w:cs="Times" w:ascii="Times" w:hAnsi="Times"/>
          <w:sz w:val="22"/>
        </w:rPr>
        <w:t>Alexandra House (10th floor),</w:t>
      </w:r>
    </w:p>
    <w:p>
      <w:pPr>
        <w:pStyle w:val="Normal"/>
        <w:spacing w:lineRule="auto" w:line="240"/>
        <w:ind w:start="5040" w:end="0"/>
        <w:rPr>
          <w:rFonts w:ascii="Times" w:hAnsi="Times" w:cs="Times"/>
          <w:sz w:val="22"/>
        </w:rPr>
      </w:pPr>
      <w:r>
        <w:rPr>
          <w:rFonts w:cs="Times" w:ascii="Times" w:hAnsi="Times"/>
          <w:sz w:val="22"/>
        </w:rPr>
        <w:t>16-20 Chater Road,</w:t>
      </w:r>
    </w:p>
    <w:p>
      <w:pPr>
        <w:pStyle w:val="Normal"/>
        <w:spacing w:lineRule="auto" w:line="240"/>
        <w:ind w:start="5040" w:end="0"/>
        <w:rPr>
          <w:rFonts w:ascii="Times" w:hAnsi="Times" w:cs="Times"/>
          <w:sz w:val="22"/>
        </w:rPr>
      </w:pPr>
      <w:r>
        <w:rPr>
          <w:rFonts w:cs="Times" w:ascii="Times" w:hAnsi="Times"/>
          <w:sz w:val="22"/>
        </w:rPr>
        <w:t>Central,</w:t>
      </w:r>
    </w:p>
    <w:p>
      <w:pPr>
        <w:pStyle w:val="Normal"/>
        <w:spacing w:lineRule="auto" w:line="240"/>
        <w:ind w:start="5040" w:end="0"/>
        <w:rPr>
          <w:rFonts w:ascii="Times" w:hAnsi="Times" w:cs="Times"/>
          <w:sz w:val="22"/>
        </w:rPr>
      </w:pPr>
      <w:r>
        <w:rPr>
          <w:rFonts w:cs="Times" w:ascii="Times" w:hAnsi="Times"/>
          <w:sz w:val="22"/>
        </w:rPr>
        <w:t>Hong Kong.</w:t>
      </w:r>
    </w:p>
    <w:p>
      <w:pPr>
        <w:pStyle w:val="Normal"/>
        <w:spacing w:lineRule="auto" w:line="240"/>
        <w:ind w:start="5040" w:end="0"/>
        <w:rPr>
          <w:rFonts w:ascii="Times" w:hAnsi="Times" w:cs="Times"/>
          <w:sz w:val="22"/>
        </w:rPr>
      </w:pPr>
      <w:r>
        <w:rPr>
          <w:rFonts w:cs="Times" w:ascii="Times" w:hAnsi="Times"/>
          <w:sz w:val="22"/>
        </w:rPr>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Ref:</w:t>
        <w:tab/>
        <w:t>CXW</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Tel:</w:t>
        <w:tab/>
        <w:t>+852 2842 4888</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Fax:</w:t>
        <w:tab/>
        <w:t>+852 2810 8133</w:t>
      </w:r>
    </w:p>
    <w:p>
      <w:pPr>
        <w:pStyle w:val="Normal"/>
        <w:tabs>
          <w:tab w:val="clear" w:pos="720"/>
          <w:tab w:val="left" w:pos="5760" w:leader="none"/>
        </w:tabs>
        <w:spacing w:lineRule="auto" w:line="240" w:before="0" w:after="60"/>
        <w:ind w:start="5040" w:end="0"/>
        <w:rPr>
          <w:rFonts w:ascii="Times" w:hAnsi="Times" w:cs="Times"/>
          <w:b/>
          <w:sz w:val="22"/>
        </w:rPr>
      </w:pPr>
      <w:r>
        <w:rPr>
          <w:rFonts w:cs="Times" w:ascii="Times" w:hAnsi="Times"/>
          <w:sz w:val="22"/>
        </w:rPr>
        <w:t>E-mail:</w:t>
        <w:tab/>
        <w:t>christopher.walker@linklaters.com</w:t>
      </w:r>
    </w:p>
    <w:p>
      <w:pPr>
        <w:pStyle w:val="Normal"/>
        <w:spacing w:lineRule="auto" w:line="240"/>
        <w:ind w:start="5040" w:end="0"/>
        <w:rPr>
          <w:rFonts w:ascii="Times" w:hAnsi="Times" w:cs="Times"/>
          <w:sz w:val="22"/>
          <w:u w:val="single"/>
        </w:rPr>
      </w:pPr>
      <w:r>
        <w:rPr>
          <w:rFonts w:cs="Times" w:ascii="Times" w:hAnsi="Times"/>
          <w:sz w:val="22"/>
          <w:u w:val="single"/>
        </w:rPr>
        <w:t>Solicitors for the Claimant</w:t>
      </w:r>
    </w:p>
    <w:sectPr>
      <w:headerReference w:type="default" r:id="rId6"/>
      <w:headerReference w:type="first" r:id="rId7"/>
      <w:footerReference w:type="default" r:id="rId8"/>
      <w:footerReference w:type="first" r:id="rId9"/>
      <w:type w:val="nextPage"/>
      <w:pgSz w:w="11906" w:h="16838"/>
      <w:pgMar w:left="1800" w:right="1152" w:gutter="0" w:header="763" w:top="1440" w:footer="475" w:bottom="131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Baskerville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t>A01268421</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t>1.1a</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t>07 Apr 2001</w:t>
    </w:r>
    <w:r>
      <w:rPr>
        <w:sz w:val="18"/>
        <w:rFonts w:cs="Times" w:ascii="Times" w:hAnsi="Times"/>
      </w:rPr>
      <w:fldChar w:fldCharType="end"/>
    </w:r>
  </w:p>
  <w:p>
    <w:pPr>
      <w:pStyle w:val="Footer"/>
      <w:pBdr>
        <w:top w:val="nil"/>
      </w:pBdr>
      <w:jc w:val="center"/>
      <w:rPr/>
    </w:pPr>
    <w:r>
      <w:rPr>
        <w:rStyle w:val="PageNumber"/>
        <w:rFonts w:cs="Times" w:ascii="Times" w:hAnsi="Times"/>
        <w:sz w:val="22"/>
      </w:rPr>
      <w:t xml:space="preserve">- </w:t>
    </w:r>
    <w:r>
      <w:rPr>
        <w:rStyle w:val="PageNumber"/>
        <w:rFonts w:cs="Times" w:ascii="Times" w:hAnsi="Times"/>
        <w:sz w:val="22"/>
      </w:rPr>
      <w:fldChar w:fldCharType="begin"/>
    </w:r>
    <w:r>
      <w:rPr>
        <w:rStyle w:val="PageNumber"/>
        <w:sz w:val="22"/>
        <w:rFonts w:cs="Times" w:ascii="Times" w:hAnsi="Times"/>
      </w:rPr>
      <w:instrText xml:space="preserve"> PAGE </w:instrText>
    </w:r>
    <w:r>
      <w:rPr>
        <w:rStyle w:val="PageNumber"/>
        <w:sz w:val="22"/>
        <w:rFonts w:cs="Times" w:ascii="Times" w:hAnsi="Times"/>
      </w:rPr>
      <w:fldChar w:fldCharType="separate"/>
    </w:r>
    <w:r>
      <w:rPr>
        <w:rStyle w:val="PageNumber"/>
        <w:sz w:val="22"/>
        <w:rFonts w:cs="Times" w:ascii="Times" w:hAnsi="Times"/>
      </w:rPr>
      <w:t>16</w:t>
    </w:r>
    <w:r>
      <w:rPr>
        <w:rStyle w:val="PageNumber"/>
        <w:sz w:val="22"/>
        <w:rFonts w:cs="Times" w:ascii="Times" w:hAnsi="Times"/>
      </w:rPr>
      <w:fldChar w:fldCharType="end"/>
    </w:r>
    <w:r>
      <w:rPr>
        <w:rStyle w:val="PageNumber"/>
        <w:rFonts w:cs="Times" w:ascii="Times" w:hAnsi="Times"/>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t>A01268421</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t>1.1a</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t>07 Apr 2001</w:t>
    </w:r>
    <w:r>
      <w:rPr>
        <w:sz w:val="18"/>
        <w:rFonts w:cs="Times" w:ascii="Times" w:hAnsi="Times"/>
      </w:rPr>
      <w:fldChar w:fldCharType="end"/>
    </w:r>
  </w:p>
  <w:p>
    <w:pPr>
      <w:pStyle w:val="Footer"/>
      <w:pBdr>
        <w:top w:val="nil"/>
      </w:pBdr>
      <w:jc w:val="center"/>
      <w:rPr/>
    </w:pPr>
    <w:r>
      <w:rPr>
        <w:rStyle w:val="PageNumber"/>
        <w:rFonts w:cs="Times" w:ascii="Times" w:hAnsi="Times"/>
        <w:sz w:val="22"/>
      </w:rPr>
      <w:t xml:space="preserve">- </w:t>
    </w:r>
    <w:r>
      <w:rPr>
        <w:rStyle w:val="PageNumber"/>
        <w:rFonts w:cs="Times" w:ascii="Times" w:hAnsi="Times"/>
        <w:sz w:val="22"/>
      </w:rPr>
      <w:fldChar w:fldCharType="begin"/>
    </w:r>
    <w:r>
      <w:rPr>
        <w:rStyle w:val="PageNumber"/>
        <w:sz w:val="22"/>
        <w:rFonts w:cs="Times" w:ascii="Times" w:hAnsi="Times"/>
      </w:rPr>
      <w:instrText xml:space="preserve"> PAGE </w:instrText>
    </w:r>
    <w:r>
      <w:rPr>
        <w:rStyle w:val="PageNumber"/>
        <w:sz w:val="22"/>
        <w:rFonts w:cs="Times" w:ascii="Times" w:hAnsi="Times"/>
      </w:rPr>
      <w:fldChar w:fldCharType="separate"/>
    </w:r>
    <w:r>
      <w:rPr>
        <w:rStyle w:val="PageNumber"/>
        <w:sz w:val="22"/>
        <w:rFonts w:cs="Times" w:ascii="Times" w:hAnsi="Times"/>
      </w:rPr>
      <w:t>18</w:t>
    </w:r>
    <w:r>
      <w:rPr>
        <w:rStyle w:val="PageNumber"/>
        <w:sz w:val="22"/>
        <w:rFonts w:cs="Times" w:ascii="Times" w:hAnsi="Times"/>
      </w:rPr>
      <w:fldChar w:fldCharType="end"/>
    </w:r>
    <w:r>
      <w:rPr>
        <w:rStyle w:val="PageNumber"/>
        <w:rFonts w:cs="Times" w:ascii="Times" w:hAnsi="Times"/>
        <w:sz w:val="2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t>A01268421</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t>1.1a</w:t>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t>07 Apr 2001</w:t>
    </w:r>
    <w:r>
      <w:rPr>
        <w:sz w:val="18"/>
        <w:rFonts w:cs="Times" w:ascii="Times" w:hAnsi="Times"/>
      </w:rPr>
      <w:fldChar w:fldCharType="end"/>
    </w:r>
  </w:p>
  <w:p>
    <w:pPr>
      <w:pStyle w:val="Normal"/>
      <w:jc w:val="center"/>
      <w:rPr>
        <w:rFonts w:ascii="Times" w:hAnsi="Times" w:cs="Times"/>
        <w:sz w:val="18"/>
      </w:rPr>
    </w:pPr>
    <w:r>
      <w:rPr>
        <w:rFonts w:cs="Times" w:ascii="Times" w:hAnsi="Times"/>
        <w:sz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upperLetter"/>
      <w:lvlText w:val="(%1)"/>
      <w:lvlJc w:val="start"/>
      <w:pPr>
        <w:tabs>
          <w:tab w:val="num" w:pos="0"/>
        </w:tabs>
        <w:ind w:start="0" w:hanging="720"/>
      </w:pPr>
      <w:rPr>
        <w:sz w:val="22"/>
        <w:i w:val="false"/>
        <w:b/>
        <w:rFonts w:ascii="Times" w:hAnsi="Times" w:cs="Times"/>
      </w:rPr>
    </w:lvl>
  </w:abstractNum>
  <w:abstractNum w:abstractNumId="4">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5">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6">
    <w:lvl w:ilvl="0">
      <w:start w:val="1"/>
      <w:numFmt w:val="bullet"/>
      <w:lvlText w:val=""/>
      <w:lvlJc w:val="start"/>
      <w:pPr>
        <w:tabs>
          <w:tab w:val="num" w:pos="3969"/>
        </w:tabs>
        <w:ind w:start="3969" w:hanging="680"/>
      </w:pPr>
      <w:rPr>
        <w:rFonts w:ascii="Symbol" w:hAnsi="Symbol" w:cs="Symbol" w:hint="default"/>
      </w:rPr>
    </w:lvl>
  </w:abstractNum>
  <w:abstractNum w:abstractNumId="7">
    <w:lvl w:ilvl="0">
      <w:start w:val="1"/>
      <w:numFmt w:val="bullet"/>
      <w:lvlText w:val=""/>
      <w:lvlJc w:val="start"/>
      <w:pPr>
        <w:tabs>
          <w:tab w:val="num" w:pos="567"/>
        </w:tabs>
        <w:ind w:start="567" w:hanging="567"/>
      </w:pPr>
      <w:rPr>
        <w:rFonts w:ascii="Symbol" w:hAnsi="Symbol" w:cs="Symbol" w:hint="default"/>
      </w:rPr>
    </w:lvl>
  </w:abstractNum>
  <w:abstractNum w:abstractNumId="8">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9">
    <w:lvl w:ilvl="0">
      <w:start w:val="1"/>
      <w:numFmt w:val="bullet"/>
      <w:lvlText w:val=""/>
      <w:lvlJc w:val="start"/>
      <w:pPr>
        <w:tabs>
          <w:tab w:val="num" w:pos="2722"/>
        </w:tabs>
        <w:ind w:start="2722" w:hanging="681"/>
      </w:pPr>
      <w:rPr>
        <w:rFonts w:ascii="Symbol" w:hAnsi="Symbol" w:cs="Symbol" w:hint="default"/>
      </w:rPr>
    </w:lvl>
  </w:abstractNum>
  <w:abstractNum w:abstractNumId="10">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1">
    <w:lvl w:ilvl="0">
      <w:start w:val="1"/>
      <w:numFmt w:val="bullet"/>
      <w:lvlText w:val=""/>
      <w:lvlJc w:val="start"/>
      <w:pPr>
        <w:tabs>
          <w:tab w:val="num" w:pos="2041"/>
        </w:tabs>
        <w:ind w:start="2041" w:hanging="794"/>
      </w:pPr>
      <w:rPr>
        <w:rFonts w:ascii="Symbol" w:hAnsi="Symbol" w:cs="Symbol" w:hint="default"/>
      </w:rPr>
    </w:lvl>
  </w:abstractNum>
  <w:abstractNum w:abstractNumId="12">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3">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4">
    <w:lvl w:ilvl="0">
      <w:start w:val="1"/>
      <w:numFmt w:val="bullet"/>
      <w:lvlText w:val=""/>
      <w:lvlJc w:val="start"/>
      <w:pPr>
        <w:tabs>
          <w:tab w:val="num" w:pos="3289"/>
        </w:tabs>
        <w:ind w:start="3289" w:hanging="567"/>
      </w:pPr>
      <w:rPr>
        <w:rFonts w:ascii="Symbol" w:hAnsi="Symbol" w:cs="Symbol" w:hint="default"/>
      </w:rPr>
    </w:lvl>
  </w:abstractNum>
  <w:abstractNum w:abstractNumId="15">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6">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7">
    <w:lvl w:ilvl="0">
      <w:start w:val="1"/>
      <w:numFmt w:val="bullet"/>
      <w:lvlText w:val=""/>
      <w:lvlJc w:val="start"/>
      <w:pPr>
        <w:tabs>
          <w:tab w:val="num" w:pos="1418"/>
        </w:tabs>
        <w:ind w:start="1418" w:hanging="567"/>
      </w:pPr>
      <w:rPr>
        <w:rFonts w:ascii="Symbol" w:hAnsi="Symbol" w:cs="Symbol" w:hint="default"/>
      </w:rPr>
    </w:lvl>
  </w:abstractNum>
  <w:abstractNum w:abstractNumId="18">
    <w:lvl w:ilvl="0">
      <w:start w:val="1"/>
      <w:numFmt w:val="decimal"/>
      <w:lvlText w:val="%1."/>
      <w:lvlJc w:val="start"/>
      <w:pPr>
        <w:tabs>
          <w:tab w:val="num" w:pos="720"/>
        </w:tabs>
        <w:ind w:start="720" w:hanging="720"/>
      </w:pPr>
    </w:lvl>
    <w:lvl w:ilvl="1">
      <w:start w:val="1"/>
      <w:numFmt w:val="decimal"/>
      <w:lvlText w:val="(%2)"/>
      <w:lvlJc w:val="start"/>
      <w:pPr>
        <w:tabs>
          <w:tab w:val="num" w:pos="1440"/>
        </w:tabs>
        <w:ind w:start="1440" w:hanging="720"/>
      </w:pPr>
    </w:lvl>
    <w:lvl w:ilvl="2">
      <w:start w:val="1"/>
      <w:numFmt w:val="lowerLetter"/>
      <w:lvlText w:val="(%3)"/>
      <w:lvlJc w:val="start"/>
      <w:pPr>
        <w:tabs>
          <w:tab w:val="num" w:pos="2160"/>
        </w:tabs>
        <w:ind w:start="2160" w:hanging="720"/>
      </w:pPr>
    </w:lvl>
    <w:lvl w:ilvl="3">
      <w:start w:val="1"/>
      <w:numFmt w:val="upperRoman"/>
      <w:lvlText w:val="(%4)"/>
      <w:lvlJc w:val="start"/>
      <w:pPr>
        <w:tabs>
          <w:tab w:val="num" w:pos="2880"/>
        </w:tabs>
        <w:ind w:start="2880" w:hanging="720"/>
      </w:pPr>
    </w:lvl>
    <w:lvl w:ilvl="4">
      <w:start w:val="1"/>
      <w:numFmt w:val="decimal"/>
      <w:lvlText w:val="(%5)"/>
      <w:lvlJc w:val="start"/>
      <w:pPr>
        <w:tabs>
          <w:tab w:val="num" w:pos="3600"/>
        </w:tabs>
        <w:ind w:start="3600" w:hanging="720"/>
      </w:pPr>
    </w:lvl>
    <w:lvl w:ilvl="5">
      <w:start w:val="1"/>
      <w:numFmt w:val="upperLetter"/>
      <w:lvlText w:val="(%6)"/>
      <w:lvlJc w:val="start"/>
      <w:pPr>
        <w:tabs>
          <w:tab w:val="num" w:pos="4320"/>
        </w:tabs>
        <w:ind w:start="4320" w:hanging="720"/>
      </w:pPr>
    </w:lvl>
    <w:lvl w:ilvl="6">
      <w:start w:val="1"/>
      <w:numFmt w:val="lowerRoman"/>
      <w:lvlText w:val="(%7)"/>
      <w:lvlJc w:val="start"/>
      <w:pPr>
        <w:tabs>
          <w:tab w:val="num" w:pos="5040"/>
        </w:tabs>
        <w:ind w:start="5040" w:hanging="72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9">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0">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1">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2">
    <w:lvl w:ilvl="0">
      <w:start w:val="1"/>
      <w:numFmt w:val="bullet"/>
      <w:lvlText w:val=""/>
      <w:lvlJc w:val="start"/>
      <w:pPr>
        <w:tabs>
          <w:tab w:val="num" w:pos="1247"/>
        </w:tabs>
        <w:ind w:start="1247" w:hanging="680"/>
      </w:pPr>
      <w:rPr>
        <w:rFonts w:ascii="Symbol" w:hAnsi="Symbol" w:cs="Symbol" w:hint="default"/>
      </w:rPr>
    </w:lvl>
  </w:abstractNum>
  <w:abstractNum w:abstractNumId="23">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4">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5">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6">
    <w:lvl w:ilvl="0">
      <w:start w:val="1"/>
      <w:numFmt w:val="decimal"/>
      <w:lvlText w:val="(%1)"/>
      <w:lvlJc w:val="start"/>
      <w:pPr>
        <w:tabs>
          <w:tab w:val="num" w:pos="567"/>
        </w:tabs>
        <w:ind w:start="567" w:hanging="567"/>
      </w:pPr>
      <w:rPr>
        <w:sz w:val="20"/>
        <w:i w:val="false"/>
        <w:b/>
        <w:rFonts w:ascii="Arial" w:hAnsi="Arial" w:cs="Arial"/>
      </w:rPr>
    </w:lvl>
  </w:abstractNum>
  <w:abstractNum w:abstractNumId="27">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8">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9">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30">
    <w:lvl w:ilvl="0">
      <w:start w:val="1"/>
      <w:numFmt w:val="lowerRoman"/>
      <w:lvlText w:val="(%1)"/>
      <w:lvlJc w:val="start"/>
      <w:pPr>
        <w:tabs>
          <w:tab w:val="num" w:pos="1247"/>
        </w:tabs>
        <w:ind w:start="1247"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4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kern w:val="2"/>
      <w:lang w:val="en-GB"/>
    </w:rPr>
  </w:style>
  <w:style w:type="paragraph" w:styleId="Heading2">
    <w:name w:val="heading 2"/>
    <w:basedOn w:val="Normal"/>
    <w:next w:val="Normal"/>
    <w:qFormat/>
    <w:pPr>
      <w:numPr>
        <w:ilvl w:val="1"/>
        <w:numId w:val="1"/>
      </w:numPr>
      <w:spacing w:lineRule="auto" w:line="240"/>
      <w:outlineLvl w:val="1"/>
    </w:pPr>
    <w:rPr>
      <w:kern w:val="2"/>
      <w:lang w:val="en-GB"/>
    </w:rPr>
  </w:style>
  <w:style w:type="paragraph" w:styleId="Heading3">
    <w:name w:val="heading 3"/>
    <w:basedOn w:val="Normal"/>
    <w:next w:val="Normal"/>
    <w:qFormat/>
    <w:pPr>
      <w:numPr>
        <w:ilvl w:val="2"/>
        <w:numId w:val="1"/>
      </w:numPr>
      <w:spacing w:lineRule="auto" w:line="240"/>
      <w:outlineLvl w:val="2"/>
    </w:pPr>
    <w:rPr>
      <w:kern w:val="2"/>
      <w:lang w:val="en-GB"/>
    </w:rPr>
  </w:style>
  <w:style w:type="paragraph" w:styleId="Heading4">
    <w:name w:val="heading 4"/>
    <w:basedOn w:val="Normal"/>
    <w:next w:val="Normal"/>
    <w:qFormat/>
    <w:pPr>
      <w:numPr>
        <w:ilvl w:val="3"/>
        <w:numId w:val="1"/>
      </w:numPr>
      <w:spacing w:lineRule="auto" w:line="240"/>
      <w:outlineLvl w:val="3"/>
    </w:pPr>
    <w:rPr>
      <w:kern w:val="2"/>
      <w:lang w:val="en-GB"/>
    </w:rPr>
  </w:style>
  <w:style w:type="paragraph" w:styleId="Heading5">
    <w:name w:val="heading 5"/>
    <w:basedOn w:val="Normal"/>
    <w:next w:val="Normal"/>
    <w:qFormat/>
    <w:pPr>
      <w:numPr>
        <w:ilvl w:val="4"/>
        <w:numId w:val="1"/>
      </w:numPr>
      <w:spacing w:lineRule="auto" w:line="240"/>
      <w:outlineLvl w:val="4"/>
    </w:pPr>
    <w:rPr>
      <w:kern w:val="2"/>
      <w:lang w:val="en-GB"/>
    </w:rPr>
  </w:style>
  <w:style w:type="paragraph" w:styleId="Heading6">
    <w:name w:val="heading 6"/>
    <w:basedOn w:val="Normal"/>
    <w:next w:val="Normal"/>
    <w:qFormat/>
    <w:pPr>
      <w:numPr>
        <w:ilvl w:val="5"/>
        <w:numId w:val="1"/>
      </w:numPr>
      <w:spacing w:lineRule="auto" w:line="240"/>
      <w:outlineLvl w:val="5"/>
    </w:pPr>
    <w:rPr>
      <w:kern w:val="2"/>
      <w:lang w:val="en-GB"/>
    </w:rPr>
  </w:style>
  <w:style w:type="paragraph" w:styleId="Heading7">
    <w:name w:val="heading 7"/>
    <w:basedOn w:val="Normal"/>
    <w:next w:val="Normal"/>
    <w:qFormat/>
    <w:pPr>
      <w:numPr>
        <w:ilvl w:val="6"/>
        <w:numId w:val="1"/>
      </w:numPr>
      <w:spacing w:lineRule="auto" w:line="240"/>
      <w:outlineLvl w:val="6"/>
    </w:pPr>
    <w:rPr>
      <w:kern w:val="2"/>
      <w:lang w:val="en-GB"/>
    </w:rPr>
  </w:style>
  <w:style w:type="paragraph" w:styleId="Heading8">
    <w:name w:val="heading 8"/>
    <w:basedOn w:val="Normal"/>
    <w:next w:val="Normal"/>
    <w:qFormat/>
    <w:pPr>
      <w:numPr>
        <w:ilvl w:val="7"/>
        <w:numId w:val="1"/>
      </w:numPr>
      <w:spacing w:lineRule="auto" w:line="240"/>
      <w:outlineLvl w:val="7"/>
    </w:pPr>
    <w:rPr>
      <w:kern w:val="2"/>
      <w:lang w:val="en-GB"/>
    </w:rPr>
  </w:style>
  <w:style w:type="paragraph" w:styleId="Heading9">
    <w:name w:val="heading 9"/>
    <w:basedOn w:val="Normal"/>
    <w:next w:val="Normal"/>
    <w:qFormat/>
    <w:pPr>
      <w:numPr>
        <w:ilvl w:val="8"/>
        <w:numId w:val="1"/>
      </w:numPr>
      <w:outlineLvl w:val="8"/>
    </w:pPr>
    <w:rPr>
      <w:kern w:val="2"/>
      <w:lang w:val="en-GB"/>
    </w:rPr>
  </w:style>
  <w:style w:type="character" w:styleId="WW8Num1z0">
    <w:name w:val="WW8Num1z0"/>
    <w:qFormat/>
    <w:rPr>
      <w:b/>
      <w:i w:val="false"/>
    </w:rPr>
  </w:style>
  <w:style w:type="character" w:styleId="WW8Num1z1">
    <w:name w:val="WW8Num1z1"/>
    <w:qFormat/>
    <w:rPr/>
  </w:style>
  <w:style w:type="character" w:styleId="WW8Num1z4">
    <w:name w:val="WW8Num1z4"/>
    <w:qFormat/>
    <w:rPr>
      <w:rFonts w:ascii="Symbol" w:hAnsi="Symbol" w:cs="Symbol"/>
    </w:rPr>
  </w:style>
  <w:style w:type="character" w:styleId="WW8Num1z5">
    <w:name w:val="WW8Num1z5"/>
    <w:qFormat/>
    <w:rPr>
      <w:rFonts w:ascii="Wingdings" w:hAnsi="Wingdings" w:cs="Wingdings"/>
    </w:rPr>
  </w:style>
  <w:style w:type="character" w:styleId="WW8Num3z0">
    <w:name w:val="WW8Num3z0"/>
    <w:qFormat/>
    <w:rPr/>
  </w:style>
  <w:style w:type="character" w:styleId="WW8Num5z0">
    <w:name w:val="WW8Num5z0"/>
    <w:qFormat/>
    <w:rPr/>
  </w:style>
  <w:style w:type="character" w:styleId="WW8Num7z0">
    <w:name w:val="WW8Num7z0"/>
    <w:qFormat/>
    <w:rPr>
      <w:rFonts w:ascii="Arial" w:hAnsi="Arial" w:cs="Arial"/>
      <w:b/>
      <w:i w:val="false"/>
      <w:sz w:val="22"/>
    </w:rPr>
  </w:style>
  <w:style w:type="character" w:styleId="WW8Num7z1">
    <w:name w:val="WW8Num7z1"/>
    <w:qFormat/>
    <w:rPr>
      <w:rFonts w:ascii="Arial" w:hAnsi="Arial" w:cs="Arial"/>
      <w:b/>
      <w:i w:val="false"/>
      <w:sz w:val="21"/>
    </w:rPr>
  </w:style>
  <w:style w:type="character" w:styleId="WW8Num7z2">
    <w:name w:val="WW8Num7z2"/>
    <w:qFormat/>
    <w:rPr>
      <w:rFonts w:ascii="Arial" w:hAnsi="Arial" w:cs="Arial"/>
      <w:b/>
      <w:i w:val="false"/>
      <w:sz w:val="17"/>
    </w:rPr>
  </w:style>
  <w:style w:type="character" w:styleId="WW8Num7z3">
    <w:name w:val="WW8Num7z3"/>
    <w:qFormat/>
    <w:rPr>
      <w:rFonts w:ascii="Arial" w:hAnsi="Arial" w:cs="Arial"/>
      <w:b w:val="false"/>
      <w:i w:val="false"/>
      <w:sz w:val="20"/>
    </w:rPr>
  </w:style>
  <w:style w:type="character" w:styleId="WW8Num8z0">
    <w:name w:val="WW8Num8z0"/>
    <w:qFormat/>
    <w:rPr>
      <w:rFonts w:ascii="Symbol" w:hAnsi="Symbol" w:cs="Symbol"/>
    </w:rPr>
  </w:style>
  <w:style w:type="character" w:styleId="WW8Num9z0">
    <w:name w:val="WW8Num9z0"/>
    <w:qFormat/>
    <w:rPr>
      <w:rFonts w:ascii="Arial" w:hAnsi="Arial" w:cs="Arial"/>
      <w:b/>
      <w:i w:val="false"/>
      <w:sz w:val="21"/>
    </w:rPr>
  </w:style>
  <w:style w:type="character" w:styleId="WW8Num9z1">
    <w:name w:val="WW8Num9z1"/>
    <w:qFormat/>
    <w:rPr>
      <w:rFonts w:ascii="Arial" w:hAnsi="Arial" w:cs="Arial"/>
      <w:b/>
      <w:i w:val="false"/>
      <w:sz w:val="20"/>
    </w:rPr>
  </w:style>
  <w:style w:type="character" w:styleId="WW8Num9z2">
    <w:name w:val="WW8Num9z2"/>
    <w:qFormat/>
    <w:rPr>
      <w:b/>
      <w:i w:val="false"/>
      <w:sz w:val="17"/>
    </w:rPr>
  </w:style>
  <w:style w:type="character" w:styleId="WW8Num10z0">
    <w:name w:val="WW8Num10z0"/>
    <w:qFormat/>
    <w:rPr>
      <w:rFonts w:ascii="Times" w:hAnsi="Times" w:cs="Times"/>
      <w:b/>
      <w:i w:val="false"/>
      <w:sz w:val="22"/>
    </w:rPr>
  </w:style>
  <w:style w:type="character" w:styleId="WW8Num11z0">
    <w:name w:val="WW8Num11z0"/>
    <w:qFormat/>
    <w:rPr>
      <w:rFonts w:ascii="Arial" w:hAnsi="Arial" w:cs="Arial"/>
      <w:b/>
      <w:i w:val="false"/>
      <w:sz w:val="20"/>
    </w:rPr>
  </w:style>
  <w:style w:type="character" w:styleId="WW8Num11z2">
    <w:name w:val="WW8Num11z2"/>
    <w:qFormat/>
    <w:rPr>
      <w:rFonts w:ascii="Arial" w:hAnsi="Arial" w:cs="Arial"/>
      <w:b/>
      <w:i w:val="false"/>
      <w:sz w:val="17"/>
    </w:rPr>
  </w:style>
  <w:style w:type="character" w:styleId="WW8Num11z3">
    <w:name w:val="WW8Num11z3"/>
    <w:qFormat/>
    <w:rPr>
      <w:rFonts w:ascii="Arial" w:hAnsi="Arial" w:cs="Arial"/>
      <w:b w:val="false"/>
      <w:i w:val="false"/>
      <w:sz w:val="20"/>
    </w:rPr>
  </w:style>
  <w:style w:type="character" w:styleId="WW8Num12z0">
    <w:name w:val="WW8Num12z0"/>
    <w:qFormat/>
    <w:rPr>
      <w:rFonts w:ascii="Arial" w:hAnsi="Arial" w:cs="Arial"/>
      <w:b w:val="false"/>
      <w:i w:val="false"/>
      <w:sz w:val="20"/>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b/>
      <w:i w:val="false"/>
    </w:rPr>
  </w:style>
  <w:style w:type="character" w:styleId="WW8Num17z0">
    <w:name w:val="WW8Num17z0"/>
    <w:qFormat/>
    <w:rPr>
      <w:rFonts w:ascii="Symbol" w:hAnsi="Symbol" w:cs="Symbol"/>
    </w:rPr>
  </w:style>
  <w:style w:type="character" w:styleId="WW8Num18z0">
    <w:name w:val="WW8Num18z0"/>
    <w:qFormat/>
    <w:rPr>
      <w:b/>
      <w:i w:val="false"/>
      <w:sz w:val="20"/>
    </w:rPr>
  </w:style>
  <w:style w:type="character" w:styleId="WW8Num19z0">
    <w:name w:val="WW8Num19z0"/>
    <w:qFormat/>
    <w:rPr>
      <w:rFonts w:ascii="Arial" w:hAnsi="Arial" w:cs="Arial"/>
      <w:b w:val="false"/>
      <w:i w:val="false"/>
      <w:sz w:val="20"/>
    </w:rPr>
  </w:style>
  <w:style w:type="character" w:styleId="WW8Num21z0">
    <w:name w:val="WW8Num21z0"/>
    <w:qFormat/>
    <w:rPr>
      <w:rFonts w:ascii="Arial" w:hAnsi="Arial" w:cs="Arial"/>
      <w:b w:val="false"/>
      <w:i w:val="false"/>
      <w:sz w:val="20"/>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Arial" w:hAnsi="Arial" w:cs="Arial"/>
      <w:b w:val="false"/>
      <w:i w:val="false"/>
      <w:sz w:val="20"/>
    </w:rPr>
  </w:style>
  <w:style w:type="character" w:styleId="WW8Num27z0">
    <w:name w:val="WW8Num27z0"/>
    <w:qFormat/>
    <w:rPr>
      <w:rFonts w:ascii="Symbol" w:hAnsi="Symbol" w:cs="Symbol"/>
    </w:rPr>
  </w:style>
  <w:style w:type="character" w:styleId="WW8Num29z0">
    <w:name w:val="WW8Num29z0"/>
    <w:qFormat/>
    <w:rPr>
      <w:rFonts w:ascii="Arial" w:hAnsi="Arial" w:cs="Arial"/>
      <w:b w:val="false"/>
      <w:i w:val="false"/>
      <w:sz w:val="20"/>
    </w:rPr>
  </w:style>
  <w:style w:type="character" w:styleId="WW8Num30z0">
    <w:name w:val="WW8Num30z0"/>
    <w:qFormat/>
    <w:rPr>
      <w:rFonts w:ascii="Symbol" w:hAnsi="Symbol" w:cs="Symbol"/>
    </w:rPr>
  </w:style>
  <w:style w:type="character" w:styleId="WW8Num32z0">
    <w:name w:val="WW8Num32z0"/>
    <w:qFormat/>
    <w:rPr>
      <w:rFonts w:ascii="Arial" w:hAnsi="Arial" w:cs="Arial"/>
      <w:b/>
      <w:i w:val="false"/>
      <w:sz w:val="22"/>
    </w:rPr>
  </w:style>
  <w:style w:type="character" w:styleId="WW8Num32z1">
    <w:name w:val="WW8Num32z1"/>
    <w:qFormat/>
    <w:rPr>
      <w:rFonts w:ascii="Arial" w:hAnsi="Arial" w:cs="Arial"/>
      <w:b w:val="false"/>
      <w:i w:val="false"/>
      <w:sz w:val="20"/>
    </w:rPr>
  </w:style>
  <w:style w:type="character" w:styleId="WW8Num34z0">
    <w:name w:val="WW8Num34z0"/>
    <w:qFormat/>
    <w:rPr>
      <w:rFonts w:ascii="Symbol" w:hAnsi="Symbol" w:cs="Symbol"/>
    </w:rPr>
  </w:style>
  <w:style w:type="character" w:styleId="WW8Num35z0">
    <w:name w:val="WW8Num35z0"/>
    <w:qFormat/>
    <w:rPr>
      <w:rFonts w:ascii="Arial" w:hAnsi="Arial" w:cs="Arial"/>
      <w:b w:val="false"/>
      <w:i w:val="false"/>
      <w:sz w:val="20"/>
    </w:rPr>
  </w:style>
  <w:style w:type="character" w:styleId="WW8Num36z0">
    <w:name w:val="WW8Num36z0"/>
    <w:qFormat/>
    <w:rPr>
      <w:rFonts w:ascii="Arial" w:hAnsi="Arial" w:cs="Arial"/>
      <w:b w:val="false"/>
      <w:i w:val="false"/>
      <w:sz w:val="20"/>
    </w:rPr>
  </w:style>
  <w:style w:type="character" w:styleId="WW8Num37z0">
    <w:name w:val="WW8Num37z0"/>
    <w:qFormat/>
    <w:rPr>
      <w:rFonts w:ascii="Symbol" w:hAnsi="Symbol" w:cs="Symbol"/>
    </w:rPr>
  </w:style>
  <w:style w:type="character" w:styleId="WW8Num38z0">
    <w:name w:val="WW8Num38z0"/>
    <w:qFormat/>
    <w:rPr>
      <w:rFonts w:ascii="Arial" w:hAnsi="Arial" w:cs="Arial"/>
      <w:b/>
      <w:i w:val="false"/>
      <w:sz w:val="20"/>
    </w:rPr>
  </w:style>
  <w:style w:type="character" w:styleId="WW8Num38z1">
    <w:name w:val="WW8Num38z1"/>
    <w:qFormat/>
    <w:rPr>
      <w:rFonts w:ascii="Arial" w:hAnsi="Arial" w:cs="Arial"/>
      <w:b/>
      <w:i w:val="false"/>
      <w:sz w:val="19"/>
    </w:rPr>
  </w:style>
  <w:style w:type="character" w:styleId="WW8Num38z2">
    <w:name w:val="WW8Num38z2"/>
    <w:qFormat/>
    <w:rPr>
      <w:rFonts w:ascii="Arial" w:hAnsi="Arial" w:cs="Arial"/>
      <w:b w:val="false"/>
      <w:i w:val="false"/>
      <w:sz w:val="17"/>
    </w:rPr>
  </w:style>
  <w:style w:type="character" w:styleId="WW8Num39z0">
    <w:name w:val="WW8Num39z0"/>
    <w:qFormat/>
    <w:rPr>
      <w:rFonts w:ascii="Arial" w:hAnsi="Arial" w:cs="Arial"/>
      <w:b w:val="false"/>
      <w:i w:val="false"/>
      <w:sz w:val="20"/>
    </w:rPr>
  </w:style>
  <w:style w:type="character" w:styleId="WW8Num40z0">
    <w:name w:val="WW8Num40z0"/>
    <w:qFormat/>
    <w:rPr>
      <w:rFonts w:ascii="Symbol" w:hAnsi="Symbol" w:cs="Symbol"/>
    </w:rPr>
  </w:style>
  <w:style w:type="character" w:styleId="WW8Num41z0">
    <w:name w:val="WW8Num41z0"/>
    <w:qFormat/>
    <w:rPr>
      <w:rFonts w:ascii="Arial" w:hAnsi="Arial" w:cs="Arial"/>
      <w:b w:val="false"/>
      <w:i w:val="false"/>
      <w:sz w:val="20"/>
    </w:rPr>
  </w:style>
  <w:style w:type="character" w:styleId="WW8Num43z0">
    <w:name w:val="WW8Num43z0"/>
    <w:qFormat/>
    <w:rPr>
      <w:rFonts w:ascii="Arial" w:hAnsi="Arial" w:cs="Arial"/>
      <w:b w:val="false"/>
      <w:i w:val="false"/>
      <w:sz w:val="20"/>
    </w:rPr>
  </w:style>
  <w:style w:type="character" w:styleId="WW8Num44z0">
    <w:name w:val="WW8Num44z0"/>
    <w:qFormat/>
    <w:rPr>
      <w:rFonts w:ascii="Arial" w:hAnsi="Arial" w:cs="Arial"/>
      <w:b w:val="false"/>
      <w:i w:val="false"/>
      <w:sz w:val="20"/>
    </w:rPr>
  </w:style>
  <w:style w:type="character" w:styleId="WW8Num46z0">
    <w:name w:val="WW8Num46z0"/>
    <w:qFormat/>
    <w:rPr>
      <w:rFonts w:ascii="Arial" w:hAnsi="Arial" w:cs="Arial"/>
      <w:b w:val="false"/>
      <w:i w:val="false"/>
      <w:sz w:val="20"/>
    </w:rPr>
  </w:style>
  <w:style w:type="character" w:styleId="WW8Num47z0">
    <w:name w:val="WW8Num47z0"/>
    <w:qFormat/>
    <w:rPr>
      <w:rFonts w:ascii="Symbol" w:hAnsi="Symbol" w:cs="Symbol"/>
    </w:rPr>
  </w:style>
  <w:style w:type="character" w:styleId="WW8Num49z0">
    <w:name w:val="WW8Num49z0"/>
    <w:qFormat/>
    <w:rPr>
      <w:rFonts w:ascii="Arial" w:hAnsi="Arial" w:cs="Arial"/>
      <w:b/>
      <w:i w:val="false"/>
      <w:sz w:val="22"/>
    </w:rPr>
  </w:style>
  <w:style w:type="character" w:styleId="WW8Num49z1">
    <w:name w:val="WW8Num49z1"/>
    <w:qFormat/>
    <w:rPr>
      <w:rFonts w:ascii="Arial" w:hAnsi="Arial" w:cs="Arial"/>
      <w:b/>
      <w:i w:val="false"/>
      <w:sz w:val="21"/>
    </w:rPr>
  </w:style>
  <w:style w:type="character" w:styleId="WW8Num49z2">
    <w:name w:val="WW8Num49z2"/>
    <w:qFormat/>
    <w:rPr>
      <w:rFonts w:ascii="Arial" w:hAnsi="Arial" w:cs="Arial"/>
      <w:b/>
      <w:i w:val="false"/>
      <w:sz w:val="17"/>
    </w:rPr>
  </w:style>
  <w:style w:type="character" w:styleId="WW8Num49z3">
    <w:name w:val="WW8Num49z3"/>
    <w:qFormat/>
    <w:rPr>
      <w:rFonts w:ascii="Arial" w:hAnsi="Arial" w:cs="Arial"/>
      <w:b w:val="false"/>
      <w:i w:val="false"/>
      <w:sz w:val="20"/>
    </w:rPr>
  </w:style>
  <w:style w:type="character" w:styleId="WW8Num50z0">
    <w:name w:val="WW8Num50z0"/>
    <w:qFormat/>
    <w:rPr>
      <w:rFonts w:ascii="Symbol" w:hAnsi="Symbol" w:cs="Symbol"/>
    </w:rPr>
  </w:style>
  <w:style w:type="character" w:styleId="WW8Num51z0">
    <w:name w:val="WW8Num51z0"/>
    <w:qFormat/>
    <w:rPr>
      <w:rFonts w:ascii="Arial" w:hAnsi="Arial" w:cs="Arial"/>
      <w:b w:val="false"/>
      <w:i w:val="false"/>
      <w:sz w:val="20"/>
    </w:rPr>
  </w:style>
  <w:style w:type="character" w:styleId="WW8Num52z0">
    <w:name w:val="WW8Num52z0"/>
    <w:qFormat/>
    <w:rPr>
      <w:b/>
      <w:i w:val="false"/>
    </w:rPr>
  </w:style>
  <w:style w:type="character" w:styleId="WW8Num53z0">
    <w:name w:val="WW8Num53z0"/>
    <w:qFormat/>
    <w:rPr>
      <w:rFonts w:ascii="Symbol" w:hAnsi="Symbol" w:cs="Symbol"/>
      <w:b w:val="false"/>
      <w:i w:val="false"/>
      <w:sz w:val="20"/>
    </w:rPr>
  </w:style>
  <w:style w:type="character" w:styleId="WW8Num55z0">
    <w:name w:val="WW8Num55z0"/>
    <w:qFormat/>
    <w:rPr>
      <w:rFonts w:ascii="Arial" w:hAnsi="Arial" w:cs="Arial"/>
      <w:b w:val="false"/>
      <w:i w:val="false"/>
      <w:sz w:val="20"/>
    </w:rPr>
  </w:style>
  <w:style w:type="character" w:styleId="WW8Num58z0">
    <w:name w:val="WW8Num58z0"/>
    <w:qFormat/>
    <w:rPr>
      <w:rFonts w:ascii="Arial" w:hAnsi="Arial" w:cs="Arial"/>
      <w:b/>
      <w:i w:val="false"/>
      <w:sz w:val="20"/>
    </w:rPr>
  </w:style>
  <w:style w:type="character" w:styleId="WW8Num59z0">
    <w:name w:val="WW8Num59z0"/>
    <w:qFormat/>
    <w:rPr>
      <w:rFonts w:ascii="Arial" w:hAnsi="Arial" w:cs="Arial"/>
      <w:b w:val="false"/>
      <w:i w:val="false"/>
      <w:sz w:val="20"/>
    </w:rPr>
  </w:style>
  <w:style w:type="character" w:styleId="WW8Num60z0">
    <w:name w:val="WW8Num60z0"/>
    <w:qFormat/>
    <w:rPr>
      <w:rFonts w:ascii="Arial" w:hAnsi="Arial" w:cs="Arial"/>
      <w:b/>
      <w:i w:val="false"/>
      <w:sz w:val="21"/>
    </w:rPr>
  </w:style>
  <w:style w:type="character" w:styleId="WW8Num60z1">
    <w:name w:val="WW8Num60z1"/>
    <w:qFormat/>
    <w:rPr>
      <w:rFonts w:ascii="Arial" w:hAnsi="Arial" w:cs="Arial"/>
      <w:b/>
      <w:i w:val="false"/>
      <w:sz w:val="20"/>
    </w:rPr>
  </w:style>
  <w:style w:type="character" w:styleId="WW8Num60z2">
    <w:name w:val="WW8Num60z2"/>
    <w:qFormat/>
    <w:rPr>
      <w:rFonts w:ascii="Arial" w:hAnsi="Arial" w:cs="Arial"/>
      <w:b/>
      <w:i w:val="false"/>
      <w:sz w:val="17"/>
    </w:rPr>
  </w:style>
  <w:style w:type="character" w:styleId="WW8Num60z3">
    <w:name w:val="WW8Num60z3"/>
    <w:qFormat/>
    <w:rPr>
      <w:rFonts w:ascii="Arial" w:hAnsi="Arial" w:cs="Arial"/>
      <w:b w:val="false"/>
      <w:i w:val="false"/>
      <w:sz w:val="20"/>
    </w:rPr>
  </w:style>
  <w:style w:type="character" w:styleId="WW8Num61z0">
    <w:name w:val="WW8Num61z0"/>
    <w:qFormat/>
    <w:rPr>
      <w:rFonts w:ascii="Arial" w:hAnsi="Arial" w:cs="Arial"/>
      <w:b w:val="false"/>
      <w:i w:val="false"/>
      <w:sz w:val="20"/>
    </w:rPr>
  </w:style>
  <w:style w:type="character" w:styleId="WW8Num62z0">
    <w:name w:val="WW8Num62z0"/>
    <w:qFormat/>
    <w:rPr>
      <w:rFonts w:ascii="Symbol" w:hAnsi="Symbol" w:cs="Symbol"/>
    </w:rPr>
  </w:style>
  <w:style w:type="character" w:styleId="WW8Num63z0">
    <w:name w:val="WW8Num63z0"/>
    <w:qFormat/>
    <w:rPr>
      <w:rFonts w:ascii="Arial" w:hAnsi="Arial" w:cs="Arial"/>
      <w:b w:val="false"/>
      <w:i w:val="false"/>
      <w:sz w:val="20"/>
    </w:rPr>
  </w:style>
  <w:style w:type="character" w:styleId="WW8Num64z0">
    <w:name w:val="WW8Num64z0"/>
    <w:qFormat/>
    <w:rPr>
      <w:rFonts w:ascii="Arial" w:hAnsi="Arial" w:cs="Arial"/>
      <w:b w:val="false"/>
      <w:i w:val="false"/>
      <w:sz w:val="20"/>
    </w:rPr>
  </w:style>
  <w:style w:type="character" w:styleId="WW8Num65z0">
    <w:name w:val="WW8Num65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FootnoteCharacters">
    <w:name w:val="Footnote Characters"/>
    <w:basedOn w:val="DefaultParagraphFont"/>
    <w:qFormat/>
    <w:rPr>
      <w:rFonts w:ascii="Arial" w:hAnsi="Arial" w:cs="Arial"/>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
    <w:qFormat/>
    <w:pPr>
      <w:keepNext w:val="true"/>
      <w:keepLines/>
      <w:spacing w:before="0" w:after="240"/>
      <w:jc w:val="both"/>
      <w:outlineLvl w:val="3"/>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6"/>
      </w:numPr>
      <w:tabs>
        <w:tab w:val="clear" w:pos="720"/>
        <w:tab w:val="left" w:pos="567" w:leader="none"/>
      </w:tabs>
      <w:spacing w:before="0" w:after="140"/>
      <w:jc w:val="both"/>
    </w:pPr>
    <w:rPr/>
  </w:style>
  <w:style w:type="paragraph" w:styleId="alpha2">
    <w:name w:val="alpha 2"/>
    <w:basedOn w:val="Normal"/>
    <w:qFormat/>
    <w:pPr>
      <w:numPr>
        <w:ilvl w:val="0"/>
        <w:numId w:val="28"/>
      </w:numPr>
      <w:tabs>
        <w:tab w:val="clear" w:pos="720"/>
        <w:tab w:val="left" w:pos="1247" w:leader="none"/>
      </w:tabs>
      <w:spacing w:before="0" w:after="140"/>
      <w:jc w:val="both"/>
    </w:pPr>
    <w:rPr/>
  </w:style>
  <w:style w:type="paragraph" w:styleId="alpha3">
    <w:name w:val="alpha 3"/>
    <w:basedOn w:val="Normal"/>
    <w:qFormat/>
    <w:pPr>
      <w:numPr>
        <w:ilvl w:val="0"/>
        <w:numId w:val="10"/>
      </w:numPr>
      <w:tabs>
        <w:tab w:val="clear" w:pos="720"/>
        <w:tab w:val="left" w:pos="2041" w:leader="none"/>
      </w:tabs>
      <w:spacing w:before="0" w:after="140"/>
      <w:jc w:val="both"/>
    </w:pPr>
    <w:rPr/>
  </w:style>
  <w:style w:type="paragraph" w:styleId="alpha4">
    <w:name w:val="alpha 4"/>
    <w:basedOn w:val="Normal"/>
    <w:qFormat/>
    <w:pPr>
      <w:numPr>
        <w:ilvl w:val="0"/>
        <w:numId w:val="5"/>
      </w:numPr>
      <w:tabs>
        <w:tab w:val="clear" w:pos="720"/>
        <w:tab w:val="left" w:pos="2722" w:leader="none"/>
      </w:tabs>
      <w:spacing w:before="0" w:after="140"/>
      <w:ind w:hanging="680" w:start="2721" w:end="0"/>
      <w:jc w:val="both"/>
    </w:pPr>
    <w:rPr/>
  </w:style>
  <w:style w:type="paragraph" w:styleId="alpha5">
    <w:name w:val="alpha 5"/>
    <w:basedOn w:val="Normal"/>
    <w:qFormat/>
    <w:pPr>
      <w:numPr>
        <w:ilvl w:val="0"/>
        <w:numId w:val="15"/>
      </w:numPr>
      <w:tabs>
        <w:tab w:val="clear" w:pos="720"/>
        <w:tab w:val="left" w:pos="3289" w:leader="none"/>
      </w:tabs>
      <w:spacing w:before="0" w:after="140"/>
      <w:jc w:val="both"/>
    </w:pPr>
    <w:rPr/>
  </w:style>
  <w:style w:type="paragraph" w:styleId="alpha6">
    <w:name w:val="alpha 6"/>
    <w:basedOn w:val="Normal"/>
    <w:qFormat/>
    <w:pPr>
      <w:numPr>
        <w:ilvl w:val="0"/>
        <w:numId w:val="12"/>
      </w:numPr>
      <w:tabs>
        <w:tab w:val="clear" w:pos="720"/>
        <w:tab w:val="left" w:pos="3969" w:leader="none"/>
      </w:tabs>
      <w:spacing w:before="0" w:after="140"/>
      <w:jc w:val="both"/>
    </w:pPr>
    <w:rPr/>
  </w:style>
  <w:style w:type="paragraph" w:styleId="Body">
    <w:name w:val="Body"/>
    <w:basedOn w:val="Normal"/>
    <w:qFormat/>
    <w:pPr>
      <w:spacing w:before="0" w:after="140"/>
      <w:jc w:val="both"/>
    </w:pPr>
    <w:rPr/>
  </w:style>
  <w:style w:type="paragraph" w:styleId="Body1">
    <w:name w:val="Body 1"/>
    <w:basedOn w:val="Body"/>
    <w:qFormat/>
    <w:pPr>
      <w:tabs>
        <w:tab w:val="clear" w:pos="720"/>
        <w:tab w:val="left" w:pos="567" w:leader="none"/>
      </w:tabs>
      <w:ind w:hanging="0" w:start="567" w:end="0"/>
    </w:pPr>
    <w:rPr/>
  </w:style>
  <w:style w:type="paragraph" w:styleId="Body2">
    <w:name w:val="Body 2"/>
    <w:basedOn w:val="Body"/>
    <w:qFormat/>
    <w:pPr>
      <w:tabs>
        <w:tab w:val="clear" w:pos="720"/>
        <w:tab w:val="left" w:pos="1247" w:leader="none"/>
      </w:tabs>
      <w:ind w:hanging="0" w:start="1247" w:end="0"/>
    </w:pPr>
    <w:rPr/>
  </w:style>
  <w:style w:type="paragraph" w:styleId="Body3">
    <w:name w:val="Body 3"/>
    <w:basedOn w:val="Body"/>
    <w:qFormat/>
    <w:pPr>
      <w:tabs>
        <w:tab w:val="clear" w:pos="720"/>
        <w:tab w:val="left" w:pos="2041" w:leader="none"/>
      </w:tabs>
      <w:ind w:hanging="0" w:start="2041" w:end="0"/>
    </w:pPr>
    <w:rPr/>
  </w:style>
  <w:style w:type="paragraph" w:styleId="Body4">
    <w:name w:val="Body 4"/>
    <w:basedOn w:val="Body"/>
    <w:qFormat/>
    <w:pPr>
      <w:tabs>
        <w:tab w:val="clear" w:pos="720"/>
        <w:tab w:val="left" w:pos="2722" w:leader="none"/>
      </w:tabs>
      <w:ind w:hanging="0" w:start="2722" w:end="0"/>
    </w:pPr>
    <w:rPr/>
  </w:style>
  <w:style w:type="paragraph" w:styleId="Body5">
    <w:name w:val="Body 5"/>
    <w:basedOn w:val="Body"/>
    <w:qFormat/>
    <w:pPr>
      <w:tabs>
        <w:tab w:val="clear" w:pos="720"/>
        <w:tab w:val="left" w:pos="3289" w:leader="none"/>
      </w:tabs>
      <w:ind w:hanging="0" w:start="3289" w:end="0"/>
    </w:pPr>
    <w:rPr/>
  </w:style>
  <w:style w:type="paragraph" w:styleId="Body6">
    <w:name w:val="Body 6"/>
    <w:basedOn w:val="Body"/>
    <w:qFormat/>
    <w:pPr>
      <w:tabs>
        <w:tab w:val="clear" w:pos="720"/>
        <w:tab w:val="left" w:pos="3969" w:leader="none"/>
      </w:tabs>
      <w:ind w:hanging="0" w:start="3969" w:end="0"/>
    </w:pPr>
    <w:rPr/>
  </w:style>
  <w:style w:type="paragraph" w:styleId="Bullet1">
    <w:name w:val="Bullet 1"/>
    <w:basedOn w:val="Normal"/>
    <w:qFormat/>
    <w:pPr>
      <w:numPr>
        <w:ilvl w:val="0"/>
        <w:numId w:val="7"/>
      </w:numPr>
      <w:tabs>
        <w:tab w:val="clear" w:pos="720"/>
        <w:tab w:val="left" w:pos="567" w:leader="none"/>
      </w:tabs>
      <w:spacing w:before="0" w:after="140"/>
      <w:jc w:val="both"/>
    </w:pPr>
    <w:rPr/>
  </w:style>
  <w:style w:type="paragraph" w:styleId="Bullet2">
    <w:name w:val="Bullet 2"/>
    <w:basedOn w:val="Normal"/>
    <w:qFormat/>
    <w:pPr>
      <w:numPr>
        <w:ilvl w:val="0"/>
        <w:numId w:val="22"/>
      </w:numPr>
      <w:tabs>
        <w:tab w:val="clear" w:pos="720"/>
        <w:tab w:val="left" w:pos="1247" w:leader="none"/>
      </w:tabs>
      <w:spacing w:before="0" w:after="140"/>
      <w:jc w:val="both"/>
    </w:pPr>
    <w:rPr/>
  </w:style>
  <w:style w:type="paragraph" w:styleId="Bullet3">
    <w:name w:val="Bullet 3"/>
    <w:basedOn w:val="Normal"/>
    <w:qFormat/>
    <w:pPr>
      <w:numPr>
        <w:ilvl w:val="0"/>
        <w:numId w:val="11"/>
      </w:numPr>
      <w:tabs>
        <w:tab w:val="clear" w:pos="720"/>
        <w:tab w:val="left" w:pos="2041" w:leader="none"/>
      </w:tabs>
      <w:spacing w:before="0" w:after="140"/>
      <w:jc w:val="both"/>
    </w:pPr>
    <w:rPr/>
  </w:style>
  <w:style w:type="paragraph" w:styleId="Bullet4">
    <w:name w:val="Bullet 4"/>
    <w:basedOn w:val="Normal"/>
    <w:qFormat/>
    <w:pPr>
      <w:numPr>
        <w:ilvl w:val="0"/>
        <w:numId w:val="9"/>
      </w:numPr>
      <w:tabs>
        <w:tab w:val="clear" w:pos="720"/>
        <w:tab w:val="left" w:pos="2722" w:leader="none"/>
      </w:tabs>
      <w:spacing w:before="0" w:after="140"/>
      <w:ind w:hanging="680" w:start="2721" w:end="0"/>
      <w:jc w:val="both"/>
    </w:pPr>
    <w:rPr/>
  </w:style>
  <w:style w:type="paragraph" w:styleId="Bullet5">
    <w:name w:val="Bullet 5"/>
    <w:basedOn w:val="Normal"/>
    <w:qFormat/>
    <w:pPr>
      <w:numPr>
        <w:ilvl w:val="0"/>
        <w:numId w:val="14"/>
      </w:numPr>
      <w:tabs>
        <w:tab w:val="clear" w:pos="720"/>
        <w:tab w:val="left" w:pos="3289" w:leader="none"/>
      </w:tabs>
      <w:spacing w:before="0" w:after="140"/>
      <w:jc w:val="both"/>
    </w:pPr>
    <w:rPr/>
  </w:style>
  <w:style w:type="paragraph" w:styleId="Bullet6">
    <w:name w:val="Bullet 6"/>
    <w:basedOn w:val="Normal"/>
    <w:qFormat/>
    <w:pPr>
      <w:numPr>
        <w:ilvl w:val="0"/>
        <w:numId w:val="6"/>
      </w:numPr>
      <w:tabs>
        <w:tab w:val="clear" w:pos="720"/>
        <w:tab w:val="left" w:pos="3969"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
    <w:name w:val="Head"/>
    <w:basedOn w:val="Normal"/>
    <w:next w:val="Body"/>
    <w:qFormat/>
    <w:pPr>
      <w:keepNext w:val="true"/>
      <w:keepLines/>
      <w:spacing w:before="140" w:after="140"/>
      <w:jc w:val="both"/>
      <w:outlineLvl w:val="3"/>
    </w:pPr>
    <w:rPr>
      <w:b/>
      <w:sz w:val="23"/>
    </w:rPr>
  </w:style>
  <w:style w:type="paragraph" w:styleId="Head1">
    <w:name w:val="Head 1"/>
    <w:basedOn w:val="Normal"/>
    <w:next w:val="Body1"/>
    <w:qFormat/>
    <w:pPr>
      <w:keepNext w:val="true"/>
      <w:keepLines/>
      <w:spacing w:before="140" w:after="60"/>
      <w:ind w:hanging="0" w:start="567" w:end="0"/>
      <w:jc w:val="both"/>
      <w:outlineLvl w:val="3"/>
    </w:pPr>
    <w:rPr>
      <w:b/>
      <w:sz w:val="22"/>
    </w:rPr>
  </w:style>
  <w:style w:type="paragraph" w:styleId="Head2">
    <w:name w:val="Head 2"/>
    <w:basedOn w:val="Normal"/>
    <w:next w:val="Body2"/>
    <w:qFormat/>
    <w:pPr>
      <w:keepNext w:val="true"/>
      <w:keepLines/>
      <w:spacing w:before="140" w:after="60"/>
      <w:ind w:hanging="0" w:start="1247" w:end="0"/>
      <w:jc w:val="both"/>
      <w:outlineLvl w:val="3"/>
    </w:pPr>
    <w:rPr>
      <w:b/>
      <w:sz w:val="21"/>
    </w:rPr>
  </w:style>
  <w:style w:type="paragraph" w:styleId="Head3">
    <w:name w:val="Head 3"/>
    <w:basedOn w:val="Normal"/>
    <w:next w:val="Body3"/>
    <w:qFormat/>
    <w:pPr>
      <w:keepNext w:val="true"/>
      <w:keepLines/>
      <w:spacing w:before="140" w:after="40"/>
      <w:ind w:hanging="0" w:start="2041" w:end="0"/>
      <w:jc w:val="both"/>
      <w:outlineLvl w:val="3"/>
    </w:pPr>
    <w:rPr>
      <w:b/>
    </w:rPr>
  </w:style>
  <w:style w:type="paragraph" w:styleId="Level1">
    <w:name w:val="Level 1"/>
    <w:basedOn w:val="Normal"/>
    <w:qFormat/>
    <w:pPr>
      <w:numPr>
        <w:ilvl w:val="0"/>
        <w:numId w:val="21"/>
      </w:numPr>
      <w:spacing w:before="0" w:after="140"/>
      <w:jc w:val="both"/>
      <w:outlineLvl w:val="0"/>
    </w:pPr>
    <w:rPr/>
  </w:style>
  <w:style w:type="paragraph" w:styleId="Level2">
    <w:name w:val="Level 2"/>
    <w:basedOn w:val="Normal"/>
    <w:qFormat/>
    <w:pPr>
      <w:numPr>
        <w:ilvl w:val="0"/>
        <w:numId w:val="21"/>
      </w:numPr>
      <w:spacing w:before="0" w:after="140"/>
      <w:jc w:val="both"/>
      <w:outlineLvl w:val="1"/>
    </w:pPr>
    <w:rPr/>
  </w:style>
  <w:style w:type="paragraph" w:styleId="Level3">
    <w:name w:val="Level 3"/>
    <w:basedOn w:val="Normal"/>
    <w:qFormat/>
    <w:pPr>
      <w:numPr>
        <w:ilvl w:val="0"/>
        <w:numId w:val="21"/>
      </w:numPr>
      <w:spacing w:before="0" w:after="140"/>
      <w:jc w:val="both"/>
      <w:outlineLvl w:val="2"/>
    </w:pPr>
    <w:rPr/>
  </w:style>
  <w:style w:type="paragraph" w:styleId="Level4">
    <w:name w:val="Level 4"/>
    <w:basedOn w:val="Normal"/>
    <w:qFormat/>
    <w:pPr>
      <w:numPr>
        <w:ilvl w:val="0"/>
        <w:numId w:val="21"/>
      </w:numPr>
      <w:spacing w:before="0" w:after="140"/>
      <w:jc w:val="both"/>
      <w:outlineLvl w:val="3"/>
    </w:pPr>
    <w:rPr/>
  </w:style>
  <w:style w:type="paragraph" w:styleId="Level5">
    <w:name w:val="Level 5"/>
    <w:basedOn w:val="Normal"/>
    <w:qFormat/>
    <w:pPr>
      <w:numPr>
        <w:ilvl w:val="0"/>
        <w:numId w:val="21"/>
      </w:numPr>
      <w:spacing w:before="0" w:after="140"/>
      <w:jc w:val="both"/>
      <w:outlineLvl w:val="4"/>
    </w:pPr>
    <w:rPr/>
  </w:style>
  <w:style w:type="paragraph" w:styleId="Level6">
    <w:name w:val="Level 6"/>
    <w:basedOn w:val="Normal"/>
    <w:qFormat/>
    <w:pPr>
      <w:numPr>
        <w:ilvl w:val="0"/>
        <w:numId w:val="21"/>
      </w:numPr>
      <w:spacing w:before="0" w:after="140"/>
      <w:jc w:val="both"/>
      <w:outlineLvl w:val="5"/>
    </w:pPr>
    <w:rPr/>
  </w:style>
  <w:style w:type="paragraph" w:styleId="Parties">
    <w:name w:val="Parties"/>
    <w:basedOn w:val="Normal"/>
    <w:qFormat/>
    <w:pPr>
      <w:numPr>
        <w:ilvl w:val="0"/>
        <w:numId w:val="26"/>
      </w:numPr>
      <w:spacing w:before="0" w:after="140"/>
      <w:jc w:val="both"/>
    </w:pPr>
    <w:rPr/>
  </w:style>
  <w:style w:type="paragraph" w:styleId="Recitals">
    <w:name w:val="Recitals"/>
    <w:basedOn w:val="Body"/>
    <w:qFormat/>
    <w:pPr>
      <w:keepNext w:val="true"/>
      <w:numPr>
        <w:ilvl w:val="0"/>
        <w:numId w:val="3"/>
      </w:numPr>
      <w:spacing w:lineRule="auto" w:line="360" w:before="0" w:after="0"/>
    </w:pPr>
    <w:rPr>
      <w:rFonts w:ascii="Times" w:hAnsi="Times" w:cs="Times"/>
      <w:b/>
      <w:sz w:val="22"/>
    </w:rPr>
  </w:style>
  <w:style w:type="paragraph" w:styleId="roman1">
    <w:name w:val="roman 1"/>
    <w:basedOn w:val="Normal"/>
    <w:qFormat/>
    <w:pPr>
      <w:numPr>
        <w:ilvl w:val="0"/>
        <w:numId w:val="20"/>
      </w:numPr>
      <w:tabs>
        <w:tab w:val="clear" w:pos="720"/>
        <w:tab w:val="left" w:pos="567" w:leader="none"/>
      </w:tabs>
      <w:spacing w:before="0" w:after="140"/>
      <w:jc w:val="both"/>
    </w:pPr>
    <w:rPr/>
  </w:style>
  <w:style w:type="paragraph" w:styleId="roman2">
    <w:name w:val="roman 2"/>
    <w:basedOn w:val="Normal"/>
    <w:qFormat/>
    <w:pPr>
      <w:numPr>
        <w:ilvl w:val="0"/>
        <w:numId w:val="30"/>
      </w:numPr>
      <w:tabs>
        <w:tab w:val="clear" w:pos="720"/>
        <w:tab w:val="left" w:pos="1247" w:leader="none"/>
      </w:tabs>
      <w:spacing w:before="0" w:after="140"/>
      <w:jc w:val="both"/>
    </w:pPr>
    <w:rPr/>
  </w:style>
  <w:style w:type="paragraph" w:styleId="roman3">
    <w:name w:val="roman 3"/>
    <w:basedOn w:val="Normal"/>
    <w:qFormat/>
    <w:pPr>
      <w:numPr>
        <w:ilvl w:val="0"/>
        <w:numId w:val="23"/>
      </w:numPr>
      <w:tabs>
        <w:tab w:val="clear" w:pos="720"/>
        <w:tab w:val="left" w:pos="2041" w:leader="none"/>
      </w:tabs>
      <w:spacing w:before="0" w:after="140"/>
      <w:jc w:val="both"/>
    </w:pPr>
    <w:rPr/>
  </w:style>
  <w:style w:type="paragraph" w:styleId="roman4">
    <w:name w:val="roman 4"/>
    <w:basedOn w:val="Normal"/>
    <w:qFormat/>
    <w:pPr>
      <w:numPr>
        <w:ilvl w:val="0"/>
        <w:numId w:val="19"/>
      </w:numPr>
      <w:tabs>
        <w:tab w:val="clear" w:pos="720"/>
        <w:tab w:val="left" w:pos="2722" w:leader="none"/>
      </w:tabs>
      <w:spacing w:before="0" w:after="140"/>
      <w:ind w:hanging="680" w:start="2721" w:end="0"/>
      <w:jc w:val="both"/>
    </w:pPr>
    <w:rPr/>
  </w:style>
  <w:style w:type="paragraph" w:styleId="roman5">
    <w:name w:val="roman 5"/>
    <w:basedOn w:val="Normal"/>
    <w:qFormat/>
    <w:pPr>
      <w:numPr>
        <w:ilvl w:val="0"/>
        <w:numId w:val="29"/>
      </w:numPr>
      <w:tabs>
        <w:tab w:val="clear" w:pos="720"/>
        <w:tab w:val="left" w:pos="3289" w:leader="none"/>
      </w:tabs>
      <w:spacing w:before="0" w:after="140"/>
      <w:jc w:val="both"/>
    </w:pPr>
    <w:rPr/>
  </w:style>
  <w:style w:type="paragraph" w:styleId="roman6">
    <w:name w:val="roman 6"/>
    <w:basedOn w:val="Normal"/>
    <w:qFormat/>
    <w:pPr>
      <w:numPr>
        <w:ilvl w:val="0"/>
        <w:numId w:val="27"/>
      </w:numPr>
      <w:tabs>
        <w:tab w:val="clear" w:pos="720"/>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
      </w:numPr>
      <w:spacing w:before="0" w:after="140"/>
      <w:jc w:val="both"/>
      <w:outlineLvl w:val="0"/>
    </w:pPr>
    <w:rPr/>
  </w:style>
  <w:style w:type="paragraph" w:styleId="Schedule2">
    <w:name w:val="Schedule 2"/>
    <w:basedOn w:val="Normal"/>
    <w:next w:val="Body2"/>
    <w:qFormat/>
    <w:pPr>
      <w:numPr>
        <w:ilvl w:val="0"/>
        <w:numId w:val="2"/>
      </w:numPr>
      <w:spacing w:before="0" w:after="140"/>
      <w:jc w:val="both"/>
      <w:outlineLvl w:val="1"/>
    </w:pPr>
    <w:rPr/>
  </w:style>
  <w:style w:type="paragraph" w:styleId="Schedule3">
    <w:name w:val="Schedule 3"/>
    <w:basedOn w:val="Normal"/>
    <w:next w:val="Body3"/>
    <w:qFormat/>
    <w:pPr>
      <w:numPr>
        <w:ilvl w:val="0"/>
        <w:numId w:val="2"/>
      </w:numPr>
      <w:spacing w:before="0" w:after="140"/>
      <w:jc w:val="both"/>
      <w:outlineLvl w:val="2"/>
    </w:pPr>
    <w:rPr/>
  </w:style>
  <w:style w:type="paragraph" w:styleId="Schedule4">
    <w:name w:val="Schedule 4"/>
    <w:basedOn w:val="Normal"/>
    <w:next w:val="Body4"/>
    <w:qFormat/>
    <w:pPr>
      <w:numPr>
        <w:ilvl w:val="0"/>
        <w:numId w:val="2"/>
      </w:numPr>
      <w:spacing w:before="0" w:after="140"/>
      <w:jc w:val="both"/>
      <w:outlineLvl w:val="3"/>
    </w:pPr>
    <w:rPr/>
  </w:style>
  <w:style w:type="paragraph" w:styleId="Schedule5">
    <w:name w:val="Schedule 5"/>
    <w:basedOn w:val="Normal"/>
    <w:next w:val="Body5"/>
    <w:qFormat/>
    <w:pPr>
      <w:numPr>
        <w:ilvl w:val="0"/>
        <w:numId w:val="2"/>
      </w:numPr>
      <w:spacing w:before="0" w:after="140"/>
      <w:jc w:val="both"/>
      <w:outlineLvl w:val="4"/>
    </w:pPr>
    <w:rPr/>
  </w:style>
  <w:style w:type="paragraph" w:styleId="Schedule6">
    <w:name w:val="Schedule 6"/>
    <w:basedOn w:val="Normal"/>
    <w:next w:val="Body6"/>
    <w:qFormat/>
    <w:pPr>
      <w:numPr>
        <w:ilvl w:val="0"/>
        <w:numId w:val="2"/>
      </w:numPr>
      <w:spacing w:before="0" w:after="140"/>
      <w:jc w:val="both"/>
      <w:outlineLvl w:val="5"/>
    </w:pPr>
    <w:rPr/>
  </w:style>
  <w:style w:type="paragraph" w:styleId="SubHead">
    <w:name w:val="SubHead"/>
    <w:basedOn w:val="Normal"/>
    <w:next w:val="Body"/>
    <w:qFormat/>
    <w:pPr>
      <w:keepNext w:val="true"/>
      <w:keepLines/>
      <w:spacing w:before="60" w:after="60"/>
      <w:jc w:val="both"/>
      <w:outlineLvl w:val="3"/>
    </w:pPr>
    <w:rPr>
      <w:b/>
      <w:sz w:val="21"/>
    </w:rPr>
  </w:style>
  <w:style w:type="paragraph" w:styleId="TCLevel1">
    <w:name w:val="T+C Level 1"/>
    <w:basedOn w:val="Body"/>
    <w:next w:val="TCLevel2"/>
    <w:qFormat/>
    <w:pPr>
      <w:keepNext w:val="true"/>
      <w:numPr>
        <w:ilvl w:val="0"/>
        <w:numId w:val="13"/>
      </w:numPr>
      <w:tabs>
        <w:tab w:val="clear" w:pos="720"/>
        <w:tab w:val="left" w:pos="567" w:leader="none"/>
      </w:tabs>
      <w:spacing w:before="140" w:after="0"/>
      <w:outlineLvl w:val="0"/>
    </w:pPr>
    <w:rPr>
      <w:b/>
    </w:rPr>
  </w:style>
  <w:style w:type="paragraph" w:styleId="TCLevel2">
    <w:name w:val="T+C Level 2"/>
    <w:basedOn w:val="Body"/>
    <w:qFormat/>
    <w:pPr>
      <w:numPr>
        <w:ilvl w:val="0"/>
        <w:numId w:val="13"/>
      </w:numPr>
      <w:tabs>
        <w:tab w:val="clear" w:pos="720"/>
        <w:tab w:val="left" w:pos="1247" w:leader="none"/>
      </w:tabs>
      <w:outlineLvl w:val="1"/>
    </w:pPr>
    <w:rPr/>
  </w:style>
  <w:style w:type="paragraph" w:styleId="TCLevel3">
    <w:name w:val="T+C Level 3"/>
    <w:basedOn w:val="Body"/>
    <w:qFormat/>
    <w:pPr>
      <w:numPr>
        <w:ilvl w:val="0"/>
        <w:numId w:val="13"/>
      </w:numPr>
      <w:tabs>
        <w:tab w:val="clear" w:pos="720"/>
        <w:tab w:val="left" w:pos="2041" w:leader="none"/>
      </w:tabs>
      <w:outlineLvl w:val="2"/>
    </w:pPr>
    <w:rPr/>
  </w:style>
  <w:style w:type="paragraph" w:styleId="TCLevel4">
    <w:name w:val="T+C Level 4"/>
    <w:basedOn w:val="Body"/>
    <w:qFormat/>
    <w:pPr>
      <w:numPr>
        <w:ilvl w:val="0"/>
        <w:numId w:val="13"/>
      </w:numPr>
      <w:tabs>
        <w:tab w:val="clear" w:pos="720"/>
        <w:tab w:val="left" w:pos="2722" w:leader="none"/>
      </w:tabs>
      <w:ind w:hanging="680" w:start="2721" w:end="0"/>
      <w:outlineLvl w:val="3"/>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4" w:space="1" w:color="000000"/>
      </w:pBdr>
      <w:tabs>
        <w:tab w:val="clear" w:pos="720"/>
        <w:tab w:val="center" w:pos="4536" w:leader="none"/>
        <w:tab w:val="right" w:pos="9072" w:leader="none"/>
      </w:tabs>
      <w:spacing w:lineRule="auto" w:line="240"/>
    </w:pPr>
    <w:rPr>
      <w:sz w:val="17"/>
    </w:rPr>
  </w:style>
  <w:style w:type="paragraph" w:styleId="FootnoteText">
    <w:name w:val="footnote text"/>
    <w:basedOn w:val="Normal"/>
    <w:pPr>
      <w:keepLines/>
      <w:tabs>
        <w:tab w:val="clear" w:pos="720"/>
        <w:tab w:val="left" w:pos="227" w:leader="none"/>
      </w:tabs>
      <w:spacing w:lineRule="atLeast" w:line="200" w:before="0" w:after="60"/>
      <w:jc w:val="both"/>
    </w:pPr>
    <w:rPr>
      <w:sz w:val="16"/>
    </w:rPr>
  </w:style>
  <w:style w:type="paragraph" w:styleId="Header">
    <w:name w:val="header"/>
    <w:basedOn w:val="Normal"/>
    <w:pPr>
      <w:tabs>
        <w:tab w:val="clear" w:pos="720"/>
        <w:tab w:val="center" w:pos="4536" w:leader="none"/>
        <w:tab w:val="right" w:pos="9072" w:leader="none"/>
      </w:tabs>
      <w:spacing w:lineRule="auto" w:line="240"/>
    </w:pPr>
    <w:rPr>
      <w:sz w:val="19"/>
    </w:rPr>
  </w:style>
  <w:style w:type="paragraph" w:styleId="TOC1">
    <w:name w:val="toc 1"/>
    <w:basedOn w:val="Normal"/>
    <w:next w:val="Normal"/>
    <w:pPr>
      <w:spacing w:before="140" w:after="140"/>
      <w:ind w:hanging="902" w:start="902" w:end="0"/>
    </w:pPr>
    <w:rPr/>
  </w:style>
  <w:style w:type="paragraph" w:styleId="TOC2">
    <w:name w:val="toc 2"/>
    <w:basedOn w:val="Normal"/>
    <w:next w:val="Normal"/>
    <w:pPr>
      <w:spacing w:before="140" w:after="140"/>
      <w:ind w:hanging="680" w:start="878" w:end="0"/>
    </w:pPr>
    <w:rPr/>
  </w:style>
  <w:style w:type="paragraph" w:styleId="TOC3">
    <w:name w:val="toc 3"/>
    <w:basedOn w:val="Normal"/>
    <w:next w:val="Normal"/>
    <w:pPr>
      <w:spacing w:before="140" w:after="140"/>
      <w:ind w:hanging="794" w:start="2041" w:end="0"/>
    </w:pPr>
    <w:rPr/>
  </w:style>
  <w:style w:type="paragraph" w:styleId="TOC4">
    <w:name w:val="toc 4"/>
    <w:basedOn w:val="Normal"/>
    <w:next w:val="Normal"/>
    <w:pPr>
      <w:spacing w:before="140" w:after="140"/>
      <w:ind w:hanging="0" w:start="601" w:end="0"/>
    </w:pPr>
    <w:rPr/>
  </w:style>
  <w:style w:type="paragraph" w:styleId="TOC5">
    <w:name w:val="toc 5"/>
    <w:basedOn w:val="Normal"/>
    <w:next w:val="Normal"/>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zFSDate">
    <w:name w:val="zFSDate"/>
    <w:basedOn w:val="Normal"/>
    <w:qFormat/>
    <w:pPr>
      <w:jc w:val="center"/>
    </w:pPr>
    <w:rPr/>
  </w:style>
  <w:style w:type="paragraph" w:styleId="zFSFooter">
    <w:name w:val="zFSFooter"/>
    <w:basedOn w:val="Normal"/>
    <w:qFormat/>
    <w:pPr>
      <w:tabs>
        <w:tab w:val="clear" w:pos="720"/>
        <w:tab w:val="left" w:pos="6521" w:leader="none"/>
      </w:tabs>
      <w:spacing w:before="0" w:after="40"/>
      <w:ind w:hanging="0" w:start="-108" w:end="0"/>
    </w:pPr>
    <w:rPr>
      <w:sz w:val="16"/>
    </w:rPr>
  </w:style>
  <w:style w:type="paragraph" w:styleId="BulletF">
    <w:name w:val="BulletF"/>
    <w:basedOn w:val="Normal"/>
    <w:qFormat/>
    <w:pPr>
      <w:numPr>
        <w:ilvl w:val="0"/>
        <w:numId w:val="17"/>
      </w:numPr>
      <w:tabs>
        <w:tab w:val="clear" w:pos="720"/>
      </w:tabs>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6">
    <w:name w:val="toc 6"/>
    <w:basedOn w:val="Normal"/>
    <w:next w:val="Normal"/>
    <w:pPr>
      <w:tabs>
        <w:tab w:val="clear" w:pos="720"/>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Table1">
    <w:name w:val="Table 1"/>
    <w:basedOn w:val="CellBody"/>
    <w:qFormat/>
    <w:pPr>
      <w:numPr>
        <w:ilvl w:val="0"/>
        <w:numId w:val="4"/>
      </w:numPr>
    </w:pPr>
    <w:rPr/>
  </w:style>
  <w:style w:type="paragraph" w:styleId="Table2">
    <w:name w:val="Table 2"/>
    <w:basedOn w:val="CellBody"/>
    <w:qFormat/>
    <w:pPr>
      <w:numPr>
        <w:ilvl w:val="0"/>
        <w:numId w:val="4"/>
      </w:numPr>
    </w:pPr>
    <w:rPr/>
  </w:style>
  <w:style w:type="paragraph" w:styleId="Table3">
    <w:name w:val="Table 3"/>
    <w:basedOn w:val="CellBody"/>
    <w:qFormat/>
    <w:pPr>
      <w:numPr>
        <w:ilvl w:val="0"/>
        <w:numId w:val="4"/>
      </w:numPr>
    </w:pPr>
    <w:rPr/>
  </w:style>
  <w:style w:type="paragraph" w:styleId="Table4">
    <w:name w:val="Table 4"/>
    <w:basedOn w:val="CellBody"/>
    <w:qFormat/>
    <w:pPr>
      <w:numPr>
        <w:ilvl w:val="0"/>
        <w:numId w:val="4"/>
      </w:numPr>
      <w:tabs>
        <w:tab w:val="clear" w:pos="720"/>
        <w:tab w:val="left" w:pos="567" w:leader="none"/>
      </w:tabs>
    </w:pPr>
    <w:rPr/>
  </w:style>
  <w:style w:type="paragraph" w:styleId="Table5">
    <w:name w:val="Table 5"/>
    <w:basedOn w:val="CellBody"/>
    <w:qFormat/>
    <w:pPr>
      <w:numPr>
        <w:ilvl w:val="0"/>
        <w:numId w:val="4"/>
      </w:numPr>
    </w:pPr>
    <w:rPr/>
  </w:style>
  <w:style w:type="paragraph" w:styleId="Table6">
    <w:name w:val="Table 6"/>
    <w:basedOn w:val="CellBody"/>
    <w:qFormat/>
    <w:pPr>
      <w:numPr>
        <w:ilvl w:val="0"/>
        <w:numId w:val="4"/>
      </w:numPr>
      <w:tabs>
        <w:tab w:val="clear" w:pos="720"/>
        <w:tab w:val="left" w:pos="567" w:leader="none"/>
      </w:tabs>
    </w:pPr>
    <w:rPr/>
  </w:style>
  <w:style w:type="paragraph" w:styleId="Tablealpha">
    <w:name w:val="Table alpha"/>
    <w:basedOn w:val="CellBody"/>
    <w:qFormat/>
    <w:pPr>
      <w:numPr>
        <w:ilvl w:val="0"/>
        <w:numId w:val="8"/>
      </w:numPr>
    </w:pPr>
    <w:rPr/>
  </w:style>
  <w:style w:type="paragraph" w:styleId="Tableroman">
    <w:name w:val="Table roman"/>
    <w:basedOn w:val="CellBody"/>
    <w:qFormat/>
    <w:pPr>
      <w:numPr>
        <w:ilvl w:val="0"/>
        <w:numId w:val="25"/>
      </w:numPr>
      <w:tabs>
        <w:tab w:val="clear" w:pos="720"/>
        <w:tab w:val="left" w:pos="567" w:leader="none"/>
      </w:tabs>
    </w:pPr>
    <w:rPr/>
  </w:style>
  <w:style w:type="paragraph" w:styleId="Tablebullet">
    <w:name w:val="Table bullet"/>
    <w:basedOn w:val="CellBody"/>
    <w:qFormat/>
    <w:pPr>
      <w:numPr>
        <w:ilvl w:val="0"/>
        <w:numId w:val="24"/>
      </w:numPr>
    </w:pPr>
    <w:rPr/>
  </w:style>
  <w:style w:type="paragraph" w:styleId="1LevelPara">
    <w:name w:val="1 Level Para."/>
    <w:basedOn w:val="Normal"/>
    <w:qFormat/>
    <w:pPr>
      <w:numPr>
        <w:ilvl w:val="0"/>
        <w:numId w:val="18"/>
      </w:numPr>
      <w:spacing w:lineRule="auto" w:line="360" w:before="0" w:after="140"/>
      <w:jc w:val="both"/>
      <w:outlineLvl w:val="0"/>
    </w:pPr>
    <w:rPr>
      <w:rFonts w:ascii="Times" w:hAnsi="Times" w:cs="Times"/>
      <w:kern w:val="0"/>
      <w:sz w:val="22"/>
    </w:rPr>
  </w:style>
  <w:style w:type="paragraph" w:styleId="2LevelPara">
    <w:name w:val="2 Level Para."/>
    <w:basedOn w:val="Normal"/>
    <w:qFormat/>
    <w:pPr>
      <w:numPr>
        <w:ilvl w:val="0"/>
        <w:numId w:val="18"/>
      </w:numPr>
      <w:spacing w:lineRule="auto" w:line="360" w:before="0" w:after="140"/>
      <w:jc w:val="both"/>
      <w:outlineLvl w:val="1"/>
    </w:pPr>
    <w:rPr>
      <w:rFonts w:ascii="Times" w:hAnsi="Times" w:cs="Times"/>
      <w:kern w:val="0"/>
      <w:sz w:val="22"/>
    </w:rPr>
  </w:style>
  <w:style w:type="paragraph" w:styleId="3LevelPara">
    <w:name w:val="3 Level Para."/>
    <w:basedOn w:val="Normal"/>
    <w:qFormat/>
    <w:pPr>
      <w:numPr>
        <w:ilvl w:val="0"/>
        <w:numId w:val="18"/>
      </w:numPr>
      <w:spacing w:lineRule="auto" w:line="360" w:before="0" w:after="140"/>
      <w:jc w:val="both"/>
      <w:outlineLvl w:val="2"/>
    </w:pPr>
    <w:rPr>
      <w:rFonts w:ascii="Times" w:hAnsi="Times" w:cs="Times"/>
      <w:kern w:val="0"/>
      <w:sz w:val="22"/>
    </w:rPr>
  </w:style>
  <w:style w:type="paragraph" w:styleId="4LevelPara">
    <w:name w:val="4 Level Para."/>
    <w:basedOn w:val="Normal"/>
    <w:qFormat/>
    <w:pPr>
      <w:numPr>
        <w:ilvl w:val="0"/>
        <w:numId w:val="18"/>
      </w:numPr>
      <w:spacing w:lineRule="auto" w:line="300" w:before="240" w:after="0"/>
      <w:jc w:val="both"/>
      <w:outlineLvl w:val="3"/>
    </w:pPr>
    <w:rPr>
      <w:rFonts w:ascii="Baskerville BT;Times New Roman" w:hAnsi="Baskerville BT;Times New Roman" w:cs="Baskerville BT;Times New Roman"/>
      <w:kern w:val="0"/>
      <w:sz w:val="24"/>
    </w:rPr>
  </w:style>
  <w:style w:type="paragraph" w:styleId="5LevelPara">
    <w:name w:val="5 Level Para."/>
    <w:basedOn w:val="Normal"/>
    <w:qFormat/>
    <w:pPr>
      <w:numPr>
        <w:ilvl w:val="0"/>
        <w:numId w:val="18"/>
      </w:numPr>
      <w:spacing w:lineRule="auto" w:line="300" w:before="240" w:after="0"/>
      <w:jc w:val="both"/>
      <w:outlineLvl w:val="4"/>
    </w:pPr>
    <w:rPr>
      <w:rFonts w:ascii="Baskerville BT;Times New Roman" w:hAnsi="Baskerville BT;Times New Roman" w:cs="Baskerville BT;Times New Roman"/>
      <w:kern w:val="0"/>
      <w:sz w:val="24"/>
    </w:rPr>
  </w:style>
  <w:style w:type="paragraph" w:styleId="6LevelPara">
    <w:name w:val="6 Level Para."/>
    <w:basedOn w:val="Normal"/>
    <w:qFormat/>
    <w:pPr>
      <w:numPr>
        <w:ilvl w:val="0"/>
        <w:numId w:val="18"/>
      </w:numPr>
      <w:spacing w:lineRule="auto" w:line="300" w:before="240" w:after="0"/>
      <w:jc w:val="both"/>
      <w:outlineLvl w:val="5"/>
    </w:pPr>
    <w:rPr>
      <w:rFonts w:ascii="Baskerville BT;Times New Roman" w:hAnsi="Baskerville BT;Times New Roman" w:cs="Baskerville BT;Times New Roman"/>
      <w:kern w:val="0"/>
      <w:sz w:val="24"/>
    </w:rPr>
  </w:style>
  <w:style w:type="paragraph" w:styleId="7LevelPara">
    <w:name w:val="7 Level Para."/>
    <w:basedOn w:val="Normal"/>
    <w:qFormat/>
    <w:pPr>
      <w:numPr>
        <w:ilvl w:val="0"/>
        <w:numId w:val="18"/>
      </w:numPr>
      <w:spacing w:lineRule="auto" w:line="300" w:before="240" w:after="0"/>
      <w:jc w:val="both"/>
      <w:outlineLvl w:val="6"/>
    </w:pPr>
    <w:rPr>
      <w:rFonts w:ascii="Baskerville BT;Times New Roman" w:hAnsi="Baskerville BT;Times New Roman" w:cs="Baskerville BT;Times New Roman"/>
      <w:kern w:val="0"/>
      <w:sz w:val="24"/>
    </w:rPr>
  </w:style>
  <w:style w:type="paragraph" w:styleId="Heading10">
    <w:name w:val="Heading*"/>
    <w:basedOn w:val="Normal"/>
    <w:qFormat/>
    <w:pPr/>
    <w:rPr>
      <w:rFonts w:ascii="Times" w:hAnsi="Times" w:cs="Times"/>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HouseStyle1</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2001-04-06T13:50:00Z</dcterms:created>
  <dc:creator>Any Authorised User</dc:creator>
  <dc:description/>
  <dc:language>en-CA</dc:language>
  <cp:lastModifiedBy>Any Authorised User</cp:lastModifiedBy>
  <cp:lastPrinted>2001-04-08T19:28:00Z</cp:lastPrinted>
  <dcterms:modified xsi:type="dcterms:W3CDTF">2001-04-08T08:58:00Z</dcterms:modified>
  <cp:revision>40</cp:revision>
  <dc:subject/>
  <dc:title>Dated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A01268421</vt:lpwstr>
  </property>
  <property fmtid="{D5CDD505-2E9C-101B-9397-08002B2CF9AE}" pid="3" name="Last Modified">
    <vt:lpwstr>07 Apr 2001</vt:lpwstr>
  </property>
  <property fmtid="{D5CDD505-2E9C-101B-9397-08002B2CF9AE}" pid="4" name="Template Version">
    <vt:lpwstr>6.5a</vt:lpwstr>
  </property>
  <property fmtid="{D5CDD505-2E9C-101B-9397-08002B2CF9AE}" pid="5" name="Version">
    <vt:lpwstr>1.1a</vt:lpwstr>
  </property>
</Properties>
</file>