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UNCITRAL CONCILIATION RULES</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A CONCILIATION</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Applicant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UNION OF INDIA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CONCILIATION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Request for Conciliation</w:t>
      </w:r>
    </w:p>
    <w:p>
      <w:pPr>
        <w:pStyle w:val="1LevelPara"/>
        <w:numPr>
          <w:ilvl w:val="0"/>
          <w:numId w:val="18"/>
        </w:numPr>
        <w:ind w:hanging="0" w:start="0" w:end="0"/>
        <w:rPr/>
      </w:pPr>
      <w:r>
        <w:rPr/>
        <w:t>Dabhol Power Company, the Applicant herein, hereby requests and requires that the disputes and differences set out and described in paragraphs 7 and 8 below (each “a Dispute”) which have arisen between it and the Union of India, the Respondent herein, out of or in connection with a Guarantee given by the Respondent in favour of the Applicant on 15</w:t>
      </w:r>
      <w:r>
        <w:rPr>
          <w:vertAlign w:val="superscript"/>
        </w:rPr>
        <w:t>th</w:t>
      </w:r>
      <w:r>
        <w:rPr/>
        <w:t xml:space="preserve"> September 1994 (“the GOI Guarantee”) be referred to conciliation pursuant to, and in accordance with, the provisions of a conciliation agreement set out in Clause 13(a) of the GOI Guarantee and the Conciliation Rules of the United Nations Commission on International Trade Law (adopted by the United Nations General Assembly by resolution 35/52 on 4</w:t>
      </w:r>
      <w:r>
        <w:rPr>
          <w:vertAlign w:val="superscript"/>
        </w:rPr>
        <w:t>th</w:t>
      </w:r>
      <w:r>
        <w:rPr/>
        <w:t xml:space="preserve"> December 1980) (“the UNCITRAL Conciliation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herein shall bear the meanings ascribed to them in Clause 1.1 of a Power Purchase Agreement entered into between the Applicant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Applicant is the Dabhol Power Company, a private company with unlimited liability incorporated in India under the Companies Act 1956, whose registered office and address is at Enron Centre, Plot No. C-2, G Block, West Wing, Bandra-Kurla Complex, Bandra East, Bombay - 400 051, India.</w:t>
      </w:r>
    </w:p>
    <w:p>
      <w:pPr>
        <w:pStyle w:val="1LevelPara"/>
        <w:numPr>
          <w:ilvl w:val="0"/>
          <w:numId w:val="0"/>
        </w:numPr>
        <w:ind w:hanging="0" w:start="720" w:end="0"/>
        <w:rPr/>
      </w:pPr>
      <w:r>
        <w:rPr/>
        <w:t>(2)</w:t>
        <w:tab/>
        <w:t>The Respondent is the Union of India, acting through the Ministry of Finance (Government of India), of North Block, Central Secretariat, New Delhi 110001, India.</w:t>
      </w:r>
    </w:p>
    <w:p>
      <w:pPr>
        <w:pStyle w:val="Recitals"/>
        <w:numPr>
          <w:ilvl w:val="0"/>
          <w:numId w:val="3"/>
        </w:numPr>
        <w:ind w:hanging="0" w:start="0"/>
        <w:rPr/>
      </w:pPr>
      <w:r>
        <w:rPr>
          <w:u w:val="single"/>
        </w:rPr>
        <w:t>Conciliation Agreement Invoked</w:t>
      </w:r>
    </w:p>
    <w:p>
      <w:pPr>
        <w:pStyle w:val="1LevelPara"/>
        <w:numPr>
          <w:ilvl w:val="0"/>
          <w:numId w:val="18"/>
        </w:numPr>
        <w:ind w:hanging="0" w:start="0" w:end="0"/>
        <w:rPr/>
      </w:pPr>
      <w:r>
        <w:rPr/>
        <w:t xml:space="preserve">The conciliation agreement which is invoked by the Applicant is set out in Clause 13(a) of the GOI Guarantee. The text of the conciliation agreement set out in Clause 13(a) of the GOI Guarantee is set out in the Annexure to this Notice of Conciliation. </w:t>
      </w:r>
    </w:p>
    <w:p>
      <w:pPr>
        <w:pStyle w:val="Recitals"/>
        <w:numPr>
          <w:ilvl w:val="0"/>
          <w:numId w:val="3"/>
        </w:numPr>
        <w:ind w:hanging="0" w:start="0"/>
        <w:rPr/>
      </w:pPr>
      <w:r>
        <w:rPr>
          <w:u w:val="single"/>
        </w:rPr>
        <w:t>The Contract</w:t>
      </w:r>
    </w:p>
    <w:p>
      <w:pPr>
        <w:pStyle w:val="1LevelPara"/>
        <w:numPr>
          <w:ilvl w:val="0"/>
          <w:numId w:val="18"/>
        </w:numPr>
        <w:ind w:hanging="0" w:start="0" w:end="0"/>
        <w:rPr/>
      </w:pPr>
      <w:r>
        <w:rPr/>
        <w:t>The contract out of or in connection with which the Disputes have arisen is the GOI Guarantee.</w:t>
      </w:r>
    </w:p>
    <w:p>
      <w:pPr>
        <w:pStyle w:val="Recitals"/>
        <w:numPr>
          <w:ilvl w:val="0"/>
          <w:numId w:val="3"/>
        </w:numPr>
        <w:ind w:hanging="0" w:start="0"/>
        <w:rPr/>
      </w:pPr>
      <w:r>
        <w:rPr>
          <w:u w:val="single"/>
        </w:rPr>
        <w:t>Subject of the Disputes referred to Conciliation</w:t>
      </w:r>
    </w:p>
    <w:p>
      <w:pPr>
        <w:pStyle w:val="1LevelPara"/>
        <w:numPr>
          <w:ilvl w:val="0"/>
          <w:numId w:val="18"/>
        </w:numPr>
        <w:ind w:hanging="0" w:start="0" w:end="0"/>
        <w:rPr/>
      </w:pPr>
      <w:r>
        <w:rPr/>
        <w:t>In compliance with the provisions of Article 2(1) of the UNCITRAL Conciliation Rules, in paragraphs 7 and 8 below the Applicant identifies briefly the subject of the Disputes. The Applicant reserves the right to vary, amend, supplement or modify the subject of the Disputes as set out in paragraphs 7 and 8 below by means of a subsequent written notice addressed to the Respondent or by means of any written statement submitted by it in accordance with Article 5(1) of the UNCITRAL Conciliation Rules. In the event that, after the date hereof, the Respondent fails to make payment on the due date of any sums demanded of it by the Applicant under the GOI Guarantee, the Applicant reserves the right to treat any such sums as sums whose payment is disputed by the Respondent, and to supplement the subject of the Disputes as set out in paragraphs 7 and 8 below in order to include the Applicant’s entitlement to be paid such sums by the Respondent as the subject of Disputes hereby referred to conciliation.</w:t>
      </w:r>
    </w:p>
    <w:p>
      <w:pPr>
        <w:pStyle w:val="Recitals"/>
        <w:numPr>
          <w:ilvl w:val="0"/>
          <w:numId w:val="0"/>
        </w:numPr>
        <w:ind w:firstLine="720" w:start="-720" w:end="0"/>
        <w:rPr>
          <w:b w:val="false"/>
        </w:rPr>
      </w:pPr>
      <w:r>
        <w:rPr>
          <w:b w:val="false"/>
        </w:rPr>
        <w:t>(1)</w:t>
        <w:tab/>
      </w:r>
      <w:r>
        <w:rPr>
          <w:b w:val="false"/>
          <w:u w:val="single"/>
        </w:rPr>
        <w:t>Facts and Documents Relevant to the Disputes</w:t>
      </w:r>
    </w:p>
    <w:p>
      <w:pPr>
        <w:pStyle w:val="1LevelPara"/>
        <w:numPr>
          <w:ilvl w:val="0"/>
          <w:numId w:val="18"/>
        </w:numPr>
        <w:ind w:hanging="0" w:start="0"/>
        <w:rPr/>
      </w:pPr>
      <w:r>
        <w:rPr/>
        <w:t>(1)</w:t>
        <w:tab/>
        <w:t>On or about 5</w:t>
      </w:r>
      <w:r>
        <w:rPr>
          <w:vertAlign w:val="superscript"/>
        </w:rPr>
        <w:t>th</w:t>
      </w:r>
      <w:r>
        <w:rPr/>
        <w:t xml:space="preserve"> January 2001, the Applicant delivered a monthly billing statement (bearing the same date) to the MSEB prepared in accordance with Clause 11 of the PPA and relating to the month of December 2000 (“the December 2000 Bill”), in terms of which the sum of Rs. 1,528,665,213.38 became due to the Applicant in accordance with the provisions of the PPA. The sum of Rs. 1,528,665,213.38 became payable to the Applicant on 25</w:t>
      </w:r>
      <w:r>
        <w:rPr>
          <w:vertAlign w:val="superscript"/>
        </w:rPr>
        <w:t>th</w:t>
      </w:r>
      <w:r>
        <w:rPr/>
        <w:t xml:space="preserve"> January 2001 in accordance with the provisions of Clause 11.2(f) of the PPA.</w:t>
      </w:r>
    </w:p>
    <w:p>
      <w:pPr>
        <w:pStyle w:val="1LevelPara"/>
        <w:numPr>
          <w:ilvl w:val="0"/>
          <w:numId w:val="0"/>
        </w:numPr>
        <w:ind w:hanging="0" w:start="720" w:end="0"/>
        <w:rPr/>
      </w:pPr>
      <w:r>
        <w:rPr/>
        <w:t>(2)</w:t>
        <w:tab/>
        <w:t>The sum of Rs. 1,528,665,213.38 was not paid to the Applicant by the MSEB on the due date for payment in accordance with Clause 4.2(f) of the PPA, namely, 25</w:t>
      </w:r>
      <w:r>
        <w:rPr>
          <w:vertAlign w:val="superscript"/>
        </w:rPr>
        <w:t>th</w:t>
      </w:r>
      <w:r>
        <w:rPr/>
        <w:t xml:space="preserve"> January 2001.</w:t>
      </w:r>
    </w:p>
    <w:p>
      <w:pPr>
        <w:pStyle w:val="1LevelPara"/>
        <w:numPr>
          <w:ilvl w:val="0"/>
          <w:numId w:val="0"/>
        </w:numPr>
        <w:ind w:hanging="0" w:start="720" w:end="0"/>
        <w:rPr/>
      </w:pPr>
      <w:r>
        <w:rPr/>
        <w:t>(3)</w:t>
        <w:tab/>
        <w:t>On or about 6</w:t>
      </w:r>
      <w:r>
        <w:rPr>
          <w:vertAlign w:val="superscript"/>
        </w:rPr>
        <w:t>th</w:t>
      </w:r>
      <w:r>
        <w:rPr/>
        <w:t xml:space="preserve"> February 2001 (by a letter dated 5</w:t>
      </w:r>
      <w:r>
        <w:rPr>
          <w:vertAlign w:val="superscript"/>
        </w:rPr>
        <w:t>th</w:t>
      </w:r>
      <w:r>
        <w:rPr/>
        <w:t xml:space="preserve"> February 2001), the Applicant made demand upon the State of Maharashtra (“the GOM”) for the payment of the sum of Rs. 1,528,665,213.38 pursuant to the provisions of the Guarantee of the State of Maharashtra in favour of the Applicant of 10</w:t>
      </w:r>
      <w:r>
        <w:rPr>
          <w:vertAlign w:val="superscript"/>
        </w:rPr>
        <w:t>th</w:t>
      </w:r>
      <w:r>
        <w:rPr/>
        <w:t xml:space="preserve"> February 1994 (as amended in terms of Clause 11.4 of a State Support Agreement amongst the same parties dated 24</w:t>
      </w:r>
      <w:r>
        <w:rPr>
          <w:vertAlign w:val="superscript"/>
        </w:rPr>
        <w:t>th</w:t>
      </w:r>
      <w:r>
        <w:rPr/>
        <w:t xml:space="preserve"> June 1994) (“the GOM Guarantee”).</w:t>
      </w:r>
    </w:p>
    <w:p>
      <w:pPr>
        <w:pStyle w:val="1LevelPara"/>
        <w:numPr>
          <w:ilvl w:val="0"/>
          <w:numId w:val="0"/>
        </w:numPr>
        <w:ind w:hanging="0" w:start="720" w:end="0"/>
        <w:rPr/>
      </w:pPr>
      <w:r>
        <w:rPr/>
        <w:t>(4)</w:t>
        <w:tab/>
        <w:t>The GOM failed to pay the sum of Rs. 1,528,665,213.38 to the Applicant on the due date for the payment of that sum in accordance with Clause 1 of the GOM Guarantee, namely, on 12</w:t>
      </w:r>
      <w:r>
        <w:rPr>
          <w:vertAlign w:val="superscript"/>
        </w:rPr>
        <w:t>th</w:t>
      </w:r>
      <w:r>
        <w:rPr/>
        <w:t xml:space="preserve"> February 2001.</w:t>
      </w:r>
    </w:p>
    <w:p>
      <w:pPr>
        <w:pStyle w:val="1LevelPara"/>
        <w:numPr>
          <w:ilvl w:val="0"/>
          <w:numId w:val="0"/>
        </w:numPr>
        <w:ind w:hanging="0" w:start="720" w:end="0"/>
        <w:rPr/>
      </w:pPr>
      <w:r>
        <w:rPr/>
        <w:t>(5)</w:t>
        <w:tab/>
        <w:t>On or about 7</w:t>
      </w:r>
      <w:r>
        <w:rPr>
          <w:vertAlign w:val="superscript"/>
        </w:rPr>
        <w:t>th</w:t>
      </w:r>
      <w:r>
        <w:rPr/>
        <w:t xml:space="preserve"> February 2001, the Applicant delivered to the MSEB a monthly billing statement for the month of January 2001 in terms of which the sum of Rs. 1,275,119,292.58 became due to the Applicant on that date, and, in accordance with the provisions of Clause 11.2(f) of the PPA, payable, to the Applicant on 25</w:t>
      </w:r>
      <w:r>
        <w:rPr>
          <w:vertAlign w:val="superscript"/>
        </w:rPr>
        <w:t>th</w:t>
      </w:r>
      <w:r>
        <w:rPr/>
        <w:t xml:space="preserve"> February 2001 (“the January 2001 Bill”).</w:t>
      </w:r>
    </w:p>
    <w:p>
      <w:pPr>
        <w:pStyle w:val="1LevelPara"/>
        <w:numPr>
          <w:ilvl w:val="0"/>
          <w:numId w:val="0"/>
        </w:numPr>
        <w:ind w:hanging="0" w:start="720" w:end="0"/>
        <w:rPr/>
      </w:pPr>
      <w:r>
        <w:rPr/>
        <w:t>(6)</w:t>
        <w:tab/>
        <w:t>On or about 23</w:t>
      </w:r>
      <w:r>
        <w:rPr>
          <w:vertAlign w:val="superscript"/>
        </w:rPr>
        <w:t>rd</w:t>
      </w:r>
      <w:r>
        <w:rPr/>
        <w:t xml:space="preserve"> February 2001, the MSEB paid the sum of Rs. 508,665,213 to the Applicant on account of the sum of Rs. 1,528,665,213.38 owed by it to the Applicant under and pursuant to the December 2000 Bill.</w:t>
      </w:r>
    </w:p>
    <w:p>
      <w:pPr>
        <w:pStyle w:val="1LevelPara"/>
        <w:numPr>
          <w:ilvl w:val="0"/>
          <w:numId w:val="0"/>
        </w:numPr>
        <w:ind w:hanging="0" w:start="720" w:end="0"/>
        <w:rPr/>
      </w:pPr>
      <w:r>
        <w:rPr/>
        <w:t>(7)</w:t>
        <w:tab/>
        <w:t>The MSEB failed to pay the sum of Rs. 1,275,119,292.58 which was due and payable to the Applicant under the PPA and in terms of the January 2001 Bill on 25</w:t>
      </w:r>
      <w:r>
        <w:rPr>
          <w:vertAlign w:val="superscript"/>
        </w:rPr>
        <w:t>th</w:t>
      </w:r>
      <w:r>
        <w:rPr/>
        <w:t xml:space="preserve"> February 2001 on that date or subsequently. By a letter to the Applicant dated 28</w:t>
      </w:r>
      <w:r>
        <w:rPr>
          <w:vertAlign w:val="superscript"/>
        </w:rPr>
        <w:t>th</w:t>
      </w:r>
      <w:r>
        <w:rPr/>
        <w:t xml:space="preserve"> February 2001 the MSEB asserted that it was entitled to rebates in the calculation of the January 2001 Bill for Available Base Load Capacity and Available Peak Load Capacity totalling Rs. 4,012,374,935 and that, accordingly, under the January 2001 Bill a sum of Rs. 2,490,261,372.74 was due and owing to it by the Applicant. The Applicant disputes the MSEB’s asserted entitlement to rebates in the calculation of the January 2001 Bill. The Applicant has referred that dispute to the dispute resolution procedures set out in Clause 20.2 of the PPA.</w:t>
      </w:r>
    </w:p>
    <w:p>
      <w:pPr>
        <w:pStyle w:val="1LevelPara"/>
        <w:numPr>
          <w:ilvl w:val="0"/>
          <w:numId w:val="0"/>
        </w:numPr>
        <w:ind w:hanging="0" w:start="720" w:end="0"/>
        <w:rPr/>
      </w:pPr>
      <w:r>
        <w:rPr/>
        <w:t>(8)</w:t>
        <w:tab/>
        <w:t>On or about 8</w:t>
      </w:r>
      <w:r>
        <w:rPr>
          <w:vertAlign w:val="superscript"/>
        </w:rPr>
        <w:t>th</w:t>
      </w:r>
      <w:r>
        <w:rPr/>
        <w:t xml:space="preserve"> March 2001 (by a letter dated 7</w:t>
      </w:r>
      <w:r>
        <w:rPr>
          <w:vertAlign w:val="superscript"/>
        </w:rPr>
        <w:t>th</w:t>
      </w:r>
      <w:r>
        <w:rPr/>
        <w:t xml:space="preserve"> March 2001), the Applicant made demand upon the Respondent under the GOI Guarantee for the payment of the sum of Rs. 1,020,000,000.00 (representing the unpaid balance of the sum of Rs. 1,528,665,213.38 due and owing to the Applicant by the MSEB under the PPA and in terms of the December 2000 Bill), which sum had been demanded by the Applicant of the GOM pursuant to the GOM Guarantee but which the GOM had failed to pay on the due date for payment thereunder or otherwise.</w:t>
      </w:r>
    </w:p>
    <w:p>
      <w:pPr>
        <w:pStyle w:val="1LevelPara"/>
        <w:numPr>
          <w:ilvl w:val="0"/>
          <w:numId w:val="0"/>
        </w:numPr>
        <w:ind w:hanging="0" w:start="720" w:end="0"/>
        <w:rPr/>
      </w:pPr>
      <w:r>
        <w:rPr/>
        <w:t>(7)</w:t>
        <w:tab/>
        <w:t>By a letter dated 31</w:t>
      </w:r>
      <w:r>
        <w:rPr>
          <w:vertAlign w:val="superscript"/>
        </w:rPr>
        <w:t>st</w:t>
      </w:r>
      <w:r>
        <w:rPr/>
        <w:t xml:space="preserve"> March 2001, the Respondent informed the Applicant that it would not pay to the Applicant the sum of Rs. 1,020,000,000.00, demanded by the Applicant of it under the GOI Guarantee. The Respondent gave as its reasons for its refusal to make payment to the Applicant under the GOI Guarantee the following [add].</w:t>
      </w:r>
    </w:p>
    <w:p>
      <w:pPr>
        <w:pStyle w:val="Recitals"/>
        <w:numPr>
          <w:ilvl w:val="0"/>
          <w:numId w:val="0"/>
        </w:numPr>
        <w:ind w:firstLine="720" w:start="-720" w:end="0"/>
        <w:rPr>
          <w:b w:val="false"/>
        </w:rPr>
      </w:pPr>
      <w:r>
        <w:rPr>
          <w:b w:val="false"/>
        </w:rPr>
        <w:t>(2)</w:t>
        <w:tab/>
      </w:r>
      <w:r>
        <w:rPr>
          <w:b w:val="false"/>
          <w:u w:val="single"/>
        </w:rPr>
        <w:t>Subject Matter of the Disputes</w:t>
      </w:r>
    </w:p>
    <w:p>
      <w:pPr>
        <w:pStyle w:val="1LevelPara"/>
        <w:numPr>
          <w:ilvl w:val="0"/>
          <w:numId w:val="18"/>
        </w:numPr>
        <w:ind w:hanging="0" w:start="0"/>
        <w:rPr/>
      </w:pPr>
      <w:r>
        <w:rPr/>
        <w:t>(1)</w:t>
        <w:tab/>
        <w:t>Whether any (and, if so, what) sum is owed and payable by the Respondent to the Applicant in pursuance of the written demand made by the Applicant of the Respondent under the GOI Guarantee on or about 8</w:t>
      </w:r>
      <w:r>
        <w:rPr>
          <w:vertAlign w:val="superscript"/>
        </w:rPr>
        <w:t>th</w:t>
      </w:r>
      <w:r>
        <w:rPr/>
        <w:t xml:space="preserve"> March 2001.</w:t>
      </w:r>
    </w:p>
    <w:p>
      <w:pPr>
        <w:pStyle w:val="1LevelPara"/>
        <w:numPr>
          <w:ilvl w:val="0"/>
          <w:numId w:val="0"/>
        </w:numPr>
        <w:ind w:hanging="0" w:start="720" w:end="0"/>
        <w:rPr/>
      </w:pPr>
      <w:r>
        <w:rPr/>
        <w:t>(2)</w:t>
        <w:tab/>
        <w:t>What (if any) defences are available to the Respondent under the GOI Guarantee in order that the Respondent may properly be entitled to decline to pay any sum demanded of it by the Applicant (or to pay a lesser sum) assuming that the Applicant has complied with provisos (a) and (b) to Clause 1 of the GOI Guarantee?</w:t>
      </w:r>
    </w:p>
    <w:p>
      <w:pPr>
        <w:pStyle w:val="1LevelPara"/>
        <w:numPr>
          <w:ilvl w:val="0"/>
          <w:numId w:val="0"/>
        </w:numPr>
        <w:ind w:hanging="0" w:start="720" w:end="0"/>
        <w:rPr/>
      </w:pPr>
      <w:r>
        <w:rPr/>
        <w:t>(3)</w:t>
        <w:tab/>
        <w:t>Without prejudice to the generality of the matters referred to in paragraph 8(2) above:</w:t>
      </w:r>
    </w:p>
    <w:p>
      <w:pPr>
        <w:pStyle w:val="3LevelPara"/>
        <w:numPr>
          <w:ilvl w:val="2"/>
          <w:numId w:val="18"/>
        </w:numPr>
        <w:ind w:hanging="0" w:start="1440" w:end="0"/>
        <w:rPr/>
      </w:pPr>
      <w:r>
        <w:rPr/>
        <w:t>is the Respondent entitled, under the GOI Guarantee or otherwise, to exercise any right of set-off, deduction or withholding as against any sum demanded of it by the Applicant under the GOI Guarantee by reference to any sum which may be alleged by the MSEB to be due and owing to it by the Applicant under the PPA but which is disputed by the Applicant?</w:t>
      </w:r>
    </w:p>
    <w:p>
      <w:pPr>
        <w:pStyle w:val="3LevelPara"/>
        <w:numPr>
          <w:ilvl w:val="2"/>
          <w:numId w:val="18"/>
        </w:numPr>
        <w:ind w:hanging="0" w:start="1440" w:end="0"/>
        <w:rPr/>
      </w:pPr>
      <w:r>
        <w:rPr/>
        <w:t>if the answer to the question set out in sub-paragraph 8(3)(a) above is in the affirmative, in what circumstances, in what amount and upon what terms or conditions may any such right of set-off, deduction or withholding be exercised by the Respondent?</w:t>
      </w:r>
    </w:p>
    <w:p>
      <w:pPr>
        <w:pStyle w:val="1LevelPara"/>
        <w:numPr>
          <w:ilvl w:val="0"/>
          <w:numId w:val="0"/>
        </w:numPr>
        <w:ind w:hanging="0" w:start="720" w:end="0"/>
        <w:rPr/>
      </w:pPr>
      <w:r>
        <w:rPr/>
        <w:t>(4)</w:t>
        <w:tab/>
        <w:t>Is the Respondent entitled to decline to pay the sum of Rs. 1,020,000,000.00 demanded of it by the Applicant under the GOI Guarantee on or about 8</w:t>
      </w:r>
      <w:r>
        <w:rPr>
          <w:vertAlign w:val="superscript"/>
        </w:rPr>
        <w:t>th</w:t>
      </w:r>
      <w:r>
        <w:rPr/>
        <w:t xml:space="preserve"> March 2001 by reference to any of the facts or matters referred to in the Respondent’s letter to the Applicant of 31</w:t>
      </w:r>
      <w:r>
        <w:rPr>
          <w:vertAlign w:val="superscript"/>
        </w:rPr>
        <w:t>st</w:t>
      </w:r>
      <w:r>
        <w:rPr/>
        <w:t xml:space="preserve"> March 2001?</w:t>
      </w:r>
    </w:p>
    <w:p>
      <w:pPr>
        <w:pStyle w:val="Recitals"/>
        <w:numPr>
          <w:ilvl w:val="0"/>
          <w:numId w:val="3"/>
        </w:numPr>
        <w:ind w:hanging="0" w:start="0"/>
        <w:rPr/>
      </w:pPr>
      <w:r>
        <w:rPr>
          <w:u w:val="single"/>
        </w:rPr>
        <w:t>Number of Conciliators</w:t>
      </w:r>
    </w:p>
    <w:p>
      <w:pPr>
        <w:pStyle w:val="1LevelPara"/>
        <w:numPr>
          <w:ilvl w:val="0"/>
          <w:numId w:val="18"/>
        </w:numPr>
        <w:ind w:hanging="0" w:start="0" w:end="0"/>
        <w:rPr/>
      </w:pPr>
      <w:r>
        <w:rPr/>
        <w:t>The parties have previously agreed, pursuant to Clause 13(a)(i) of the GOI Guarantee, that the number of conciliators shall be three.</w:t>
      </w:r>
    </w:p>
    <w:p>
      <w:pPr>
        <w:pStyle w:val="Recitals"/>
        <w:numPr>
          <w:ilvl w:val="0"/>
          <w:numId w:val="3"/>
        </w:numPr>
        <w:ind w:hanging="0" w:start="0"/>
        <w:rPr/>
      </w:pPr>
      <w:r>
        <w:rPr>
          <w:u w:val="single"/>
        </w:rPr>
        <w:t>Appointment of Conciliator by the Applicant</w:t>
      </w:r>
    </w:p>
    <w:p>
      <w:pPr>
        <w:pStyle w:val="1LevelPara"/>
        <w:numPr>
          <w:ilvl w:val="0"/>
          <w:numId w:val="18"/>
        </w:numPr>
        <w:ind w:hanging="0" w:start="0" w:end="0"/>
        <w:rPr/>
      </w:pPr>
      <w:r>
        <w:rPr/>
        <w:t>The Applicant hereby notifies the Respondent that the Claimant has appointed the person named below as a conciliator in accordance with Article 4(1)(b) of the UNCITRAL Conciliation Rules:</w:t>
      </w:r>
    </w:p>
    <w:p>
      <w:pPr>
        <w:pStyle w:val="1LevelPara"/>
        <w:numPr>
          <w:ilvl w:val="0"/>
          <w:numId w:val="0"/>
        </w:numPr>
        <w:ind w:hanging="0" w:start="720" w:end="0"/>
        <w:rPr/>
      </w:pPr>
      <w:r>
        <w:rPr/>
        <w:t>Sir Laurence Street, A.C., K.C.M.G., Q.C. (formerly Chief Justice of New South Wales) of 121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Agree to Conciliation and to Appoint a Conciliator</w:t>
      </w:r>
    </w:p>
    <w:p>
      <w:pPr>
        <w:pStyle w:val="1LevelPara"/>
        <w:numPr>
          <w:ilvl w:val="0"/>
          <w:numId w:val="18"/>
        </w:numPr>
        <w:ind w:hanging="0" w:start="0"/>
        <w:rPr/>
      </w:pPr>
      <w:r>
        <w:rPr/>
        <w:t>(1)</w:t>
        <w:tab/>
        <w:t>The Applicant calls upon the Respondent to state in writing and written five days of the date hereof, namely, by 6</w:t>
      </w:r>
      <w:r>
        <w:rPr>
          <w:vertAlign w:val="superscript"/>
        </w:rPr>
        <w:t>th</w:t>
      </w:r>
      <w:r>
        <w:rPr/>
        <w:t xml:space="preserve"> April 2001, whether or not the Respondent accepts the request made of it by the Applicant to conciliate the Disputes. The Applicant calls the Respondent’s attention to the provisions of Articles 2(2) and 2(3) of the UNCITRAL Conciliation Rules.</w:t>
      </w:r>
    </w:p>
    <w:p>
      <w:pPr>
        <w:pStyle w:val="1LevelPara"/>
        <w:numPr>
          <w:ilvl w:val="0"/>
          <w:numId w:val="0"/>
        </w:numPr>
        <w:ind w:hanging="0" w:start="720" w:end="0"/>
        <w:rPr/>
      </w:pPr>
      <w:r>
        <w:rPr/>
        <w:t>(2)</w:t>
        <w:tab/>
        <w:t>The Applicant further calls upon the Respondent to appoint a conciliator and to take the steps set out in paragraph 12 below with a view to reaching agreement with the Applicant on the name of a third conciliator.</w:t>
      </w:r>
    </w:p>
    <w:p>
      <w:pPr>
        <w:pStyle w:val="Recitals"/>
        <w:numPr>
          <w:ilvl w:val="0"/>
          <w:numId w:val="3"/>
        </w:numPr>
        <w:ind w:hanging="0" w:start="0"/>
        <w:rPr/>
      </w:pPr>
      <w:r>
        <w:rPr>
          <w:u w:val="single"/>
        </w:rPr>
        <w:t>Appointment of a Third Conciliator</w:t>
      </w:r>
    </w:p>
    <w:p>
      <w:pPr>
        <w:pStyle w:val="1LevelPara"/>
        <w:numPr>
          <w:ilvl w:val="0"/>
          <w:numId w:val="18"/>
        </w:numPr>
        <w:ind w:hanging="0" w:start="0"/>
        <w:rPr/>
      </w:pPr>
      <w:r>
        <w:rPr/>
        <w:t>(1)</w:t>
        <w:tab/>
        <w:t>The Applicant invites the Respondent to agree in writing that the London Court of Institutional Arbitration or the International Chamber of Commerce be jointly requested by the parties to appoint a suitable individual to act as the third conciliator (in accordance with Article 4(2)(b) of the UNCITRAL Conciliation Rules).</w:t>
      </w:r>
    </w:p>
    <w:p>
      <w:pPr>
        <w:pStyle w:val="1LevelPara"/>
        <w:numPr>
          <w:ilvl w:val="0"/>
          <w:numId w:val="0"/>
        </w:numPr>
        <w:ind w:hanging="0" w:start="720" w:end="0"/>
        <w:rPr/>
      </w:pPr>
      <w:r>
        <w:rPr/>
        <w:t>(2)</w:t>
        <w:tab/>
        <w:t>The Applicant further invites the Respondent to agree in writing that the third conciliator not be a national of India or of the United States of America.</w:t>
      </w:r>
    </w:p>
    <w:p>
      <w:pPr>
        <w:pStyle w:val="Recitals"/>
        <w:numPr>
          <w:ilvl w:val="0"/>
          <w:numId w:val="3"/>
        </w:numPr>
        <w:ind w:hanging="0" w:start="0"/>
        <w:rPr/>
      </w:pPr>
      <w:r>
        <w:rPr>
          <w:u w:val="single"/>
        </w:rPr>
        <w:t>Reservation of Right to Commence an Arbitration</w:t>
      </w:r>
    </w:p>
    <w:p>
      <w:pPr>
        <w:pStyle w:val="1LevelPara"/>
        <w:numPr>
          <w:ilvl w:val="0"/>
          <w:numId w:val="18"/>
        </w:numPr>
        <w:ind w:hanging="0" w:start="0"/>
        <w:rPr/>
      </w:pPr>
      <w:r>
        <w:rPr/>
        <w:t>(1)</w:t>
        <w:tab/>
        <w:t>In accordance with the provisions of Article 16 of the UNCITRAL Conciliation Rules, the Applicant reserves the right to commence a reference to arbitration (in pursuance of the arbitration agreement set out in Clause 13(b) of the GOI Guarantee) without further notice to the Respondent in the event that such a proceeding is, in the opinion of the Applicant, necessary in order to preserve its rights.</w:t>
      </w:r>
    </w:p>
    <w:p>
      <w:pPr>
        <w:pStyle w:val="1LevelPara"/>
        <w:numPr>
          <w:ilvl w:val="0"/>
          <w:numId w:val="0"/>
        </w:numPr>
        <w:ind w:hanging="0" w:start="720" w:end="0"/>
        <w:rPr/>
      </w:pPr>
      <w:r>
        <w:rPr/>
        <w:t>(2)</w:t>
        <w:tab/>
        <w:t>Without prejudice to the generality of the foregoing, the Applicant will be minded to consider that the commencement of a reference to arbitration is necessary in order to preserve its rights if:</w:t>
      </w:r>
    </w:p>
    <w:p>
      <w:pPr>
        <w:pStyle w:val="3LevelPara"/>
        <w:numPr>
          <w:ilvl w:val="2"/>
          <w:numId w:val="18"/>
        </w:numPr>
        <w:ind w:hanging="0" w:start="1440" w:end="0"/>
        <w:rPr/>
      </w:pPr>
      <w:r>
        <w:rPr/>
        <w:t>the Respondent fails to appoint a conciliator (and given notice in writing to the Applicant of such appointment) within five days of the date hereof, namely, by 6</w:t>
      </w:r>
      <w:r>
        <w:rPr>
          <w:vertAlign w:val="superscript"/>
        </w:rPr>
        <w:t>th</w:t>
      </w:r>
      <w:r>
        <w:rPr/>
        <w:t xml:space="preserve"> April 2001; </w:t>
      </w:r>
    </w:p>
    <w:p>
      <w:pPr>
        <w:pStyle w:val="3LevelPara"/>
        <w:numPr>
          <w:ilvl w:val="2"/>
          <w:numId w:val="18"/>
        </w:numPr>
        <w:ind w:hanging="0" w:start="1440" w:end="0"/>
        <w:rPr/>
      </w:pPr>
      <w:r>
        <w:rPr/>
        <w:t>the Respondent fails to reach agreement in writing with the Applicant as to the appointment of an appropriate institution for the appointment of the third conciliator by the date stated in (2)(a) above; or</w:t>
      </w:r>
    </w:p>
    <w:p>
      <w:pPr>
        <w:pStyle w:val="3LevelPara"/>
        <w:numPr>
          <w:ilvl w:val="2"/>
          <w:numId w:val="18"/>
        </w:numPr>
        <w:ind w:hanging="0" w:start="1440" w:end="0"/>
        <w:rPr/>
      </w:pPr>
      <w:r>
        <w:rPr/>
        <w:t>the third conciliator has not been appointed within 12 days of the date hereof, namely, by 13</w:t>
      </w:r>
      <w:r>
        <w:rPr>
          <w:vertAlign w:val="superscript"/>
        </w:rPr>
        <w:t>th</w:t>
      </w:r>
      <w:r>
        <w:rPr/>
        <w:t xml:space="preserve"> April 2001.</w:t>
      </w:r>
    </w:p>
    <w:p>
      <w:pPr>
        <w:pStyle w:val="1LevelPara"/>
        <w:numPr>
          <w:ilvl w:val="0"/>
          <w:numId w:val="0"/>
        </w:numPr>
        <w:ind w:hanging="0" w:start="720" w:end="0"/>
        <w:rPr/>
      </w:pPr>
      <w:r>
        <w:rPr/>
        <w:t>(3)</w:t>
        <w:tab/>
        <w:t>In any event, should the Disputes not be resolved within sixty days of the date hereof, namely, by 25</w:t>
      </w:r>
      <w:r>
        <w:rPr>
          <w:vertAlign w:val="superscript"/>
        </w:rPr>
        <w:t>th</w:t>
      </w:r>
      <w:r>
        <w:rPr/>
        <w:t xml:space="preserve"> May 2001, the Applicant will refer the Disputes to arbitration in pursuance of the parties’ arbitration agreement set out in Clause 13(b) of the GOI Guarantee.</w:t>
      </w:r>
    </w:p>
    <w:p>
      <w:pPr>
        <w:pStyle w:val="1LevelPara"/>
        <w:numPr>
          <w:ilvl w:val="0"/>
          <w:numId w:val="0"/>
        </w:numPr>
        <w:spacing w:lineRule="auto" w:line="240" w:before="0" w:after="0"/>
        <w:ind w:hanging="0" w:start="0"/>
        <w:rPr/>
      </w:pPr>
      <w:r>
        <w:rPr/>
      </w:r>
    </w:p>
    <w:p>
      <w:pPr>
        <w:pStyle w:val="1LevelPara"/>
        <w:numPr>
          <w:ilvl w:val="0"/>
          <w:numId w:val="0"/>
        </w:numPr>
        <w:spacing w:before="0" w:after="0"/>
        <w:ind w:hanging="0" w:start="0"/>
        <w:rPr>
          <w:b/>
        </w:rPr>
      </w:pPr>
      <w:r>
        <w:rPr>
          <w:b/>
        </w:rPr>
        <w:t>For and on behalf of the Dabhol Power Company:</w:t>
      </w:r>
    </w:p>
    <w:p>
      <w:pPr>
        <w:pStyle w:val="1LevelPara"/>
        <w:numPr>
          <w:ilvl w:val="0"/>
          <w:numId w:val="0"/>
        </w:numPr>
        <w:spacing w:lineRule="auto" w:line="240" w:before="0" w:after="0"/>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t>2</w:t>
      </w:r>
      <w:r>
        <w:rPr>
          <w:vertAlign w:val="superscript"/>
        </w:rPr>
        <w:t>nd</w:t>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2</w:t>
      </w:r>
      <w:r>
        <w:rPr>
          <w:vertAlign w:val="superscript"/>
        </w:rPr>
        <w:t>nd</w:t>
      </w:r>
      <w:r>
        <w:rPr/>
        <w:t xml:space="preserve"> day of April 2001 by Messrs Linklaters of Alexandra House (10</w:t>
      </w:r>
      <w:r>
        <w:rPr>
          <w:vertAlign w:val="superscript"/>
        </w:rPr>
        <w:t>th</w:t>
      </w:r>
      <w:r>
        <w:rPr/>
        <w:t xml:space="preserve"> floor), 16-20 Chater Road, Central, Hong Kong, Solicitors for the Applicant.</w:t>
      </w:r>
      <w:r>
        <w:br w:type="page"/>
      </w:r>
    </w:p>
    <w:p>
      <w:pPr>
        <w:pStyle w:val="Heading1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13.</w:t>
        <w:tab/>
        <w:t>SETTLEMENT OF DISPUTES</w:t>
      </w:r>
    </w:p>
    <w:p>
      <w:pPr>
        <w:pStyle w:val="1LevelPara"/>
        <w:numPr>
          <w:ilvl w:val="0"/>
          <w:numId w:val="0"/>
        </w:numPr>
        <w:spacing w:lineRule="auto" w:line="240"/>
        <w:ind w:hanging="0" w:start="0"/>
        <w:rPr>
          <w:i/>
          <w:i/>
        </w:rPr>
      </w:pPr>
      <w:r>
        <w:rPr>
          <w:i/>
        </w:rPr>
        <w:tab/>
        <w:t>Any dispute or difference (each a “dispute”) arising out of or in connection with this Guarantee shall, regardless of the nature of the dispute, be referred to the dispute resolution procedure in this section.</w:t>
      </w:r>
    </w:p>
    <w:p>
      <w:pPr>
        <w:pStyle w:val="1LevelPara"/>
        <w:numPr>
          <w:ilvl w:val="0"/>
          <w:numId w:val="0"/>
        </w:numPr>
        <w:spacing w:lineRule="auto" w:line="240"/>
        <w:ind w:hanging="0" w:start="0"/>
        <w:rPr>
          <w:i/>
          <w:i/>
        </w:rPr>
      </w:pPr>
      <w:r>
        <w:rPr>
          <w:i/>
        </w:rPr>
        <w:t>(a)</w:t>
        <w:tab/>
        <w:t>The parties shall first seek an amicable settlement of the disputes by conciliation.</w:t>
      </w:r>
    </w:p>
    <w:p>
      <w:pPr>
        <w:pStyle w:val="1LevelPara"/>
        <w:numPr>
          <w:ilvl w:val="0"/>
          <w:numId w:val="0"/>
        </w:numPr>
        <w:spacing w:lineRule="auto" w:line="240"/>
        <w:ind w:hanging="720" w:start="720" w:end="0"/>
        <w:rPr>
          <w:i/>
          <w:i/>
        </w:rPr>
      </w:pPr>
      <w:r>
        <w:rPr>
          <w:i/>
        </w:rPr>
        <w:tab/>
        <w:t>(i)</w:t>
        <w:tab/>
        <w:t>Such conciliation shall take place in accordance with UNCITRAL Conciliation Rules (the “Conciliation Rules”) as at present in force and shall be conducted by three conciliators (or such lesser number as the parties may agree) to be appointed according to the Conciliation Rules.</w:t>
      </w:r>
    </w:p>
    <w:p>
      <w:pPr>
        <w:pStyle w:val="1LevelPara"/>
        <w:numPr>
          <w:ilvl w:val="0"/>
          <w:numId w:val="0"/>
        </w:numPr>
        <w:spacing w:lineRule="auto" w:line="240"/>
        <w:ind w:hanging="720" w:start="720" w:end="0"/>
        <w:rPr>
          <w:i/>
          <w:i/>
        </w:rPr>
      </w:pPr>
      <w:r>
        <w:rPr>
          <w:i/>
        </w:rPr>
        <w:tab/>
        <w:t>(ii)</w:t>
        <w:tab/>
        <w:t>Any meetings with the conciliators shall be held at New Delhi, India.</w:t>
      </w:r>
    </w:p>
    <w:p>
      <w:pPr>
        <w:pStyle w:val="1LevelPara"/>
        <w:numPr>
          <w:ilvl w:val="0"/>
          <w:numId w:val="0"/>
        </w:numPr>
        <w:spacing w:lineRule="auto" w:line="240"/>
        <w:ind w:hanging="720" w:start="720" w:end="0"/>
        <w:rPr>
          <w:i/>
          <w:i/>
        </w:rPr>
      </w:pPr>
      <w:r>
        <w:rPr>
          <w:i/>
        </w:rPr>
        <w:tab/>
        <w:t>(iii)</w:t>
        <w:tab/>
        <w:t>Each of the parties hereby gives for the purpose of the conciliation, undertakings and assurances as contained in the Conciliation Rules including an undertaking to promptly deposit its share of advance for payment of the costs as estimated by the conciliators.”</w:t>
      </w:r>
    </w:p>
    <w:p>
      <w:pPr>
        <w:sectPr>
          <w:headerReference w:type="default" r:id="rId2"/>
          <w:footerReference w:type="default" r:id="rId3"/>
          <w:type w:val="nextPage"/>
          <w:pgSz w:w="11906" w:h="16838"/>
          <w:pgMar w:left="1800" w:right="1800" w:gutter="0" w:header="720" w:top="1440" w:footer="576" w:bottom="1296"/>
          <w:pgNumType w:fmt="decimal"/>
          <w:formProt w:val="false"/>
          <w:textDirection w:val="lrTb"/>
          <w:docGrid w:type="default" w:linePitch="360" w:charSpace="0"/>
        </w:sectPr>
        <w:pStyle w:val="1LevelPara"/>
        <w:numPr>
          <w:ilvl w:val="0"/>
          <w:numId w:val="0"/>
        </w:numPr>
        <w:spacing w:lineRule="auto" w:line="240" w:before="0" w:after="240"/>
        <w:ind w:hanging="720" w:start="720" w:end="0"/>
        <w:rPr>
          <w:i/>
          <w:i/>
        </w:rPr>
      </w:pPr>
      <w:r>
        <w:rPr>
          <w:i/>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Applicant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UNION OF INDIA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CONCILIATION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760" w:end="0"/>
        <w:rPr>
          <w:rFonts w:ascii="Times" w:hAnsi="Times" w:cs="Times"/>
          <w:sz w:val="22"/>
        </w:rPr>
      </w:pPr>
      <w:r>
        <w:rPr>
          <w:rFonts w:cs="Times" w:ascii="Times" w:hAnsi="Times"/>
          <w:sz w:val="22"/>
        </w:rPr>
        <w:t>Messrs. Linklaters</w:t>
      </w:r>
    </w:p>
    <w:p>
      <w:pPr>
        <w:pStyle w:val="Normal"/>
        <w:spacing w:lineRule="auto" w:line="240"/>
        <w:ind w:start="5760" w:end="0"/>
        <w:rPr>
          <w:rFonts w:ascii="Times" w:hAnsi="Times" w:cs="Times"/>
          <w:sz w:val="22"/>
        </w:rPr>
      </w:pPr>
      <w:r>
        <w:rPr>
          <w:rFonts w:cs="Times" w:ascii="Times" w:hAnsi="Times"/>
          <w:sz w:val="22"/>
        </w:rPr>
        <w:t>Alexandra House (10th floor),</w:t>
      </w:r>
    </w:p>
    <w:p>
      <w:pPr>
        <w:pStyle w:val="Normal"/>
        <w:spacing w:lineRule="auto" w:line="240"/>
        <w:ind w:start="5760" w:end="0"/>
        <w:rPr>
          <w:rFonts w:ascii="Times" w:hAnsi="Times" w:cs="Times"/>
          <w:sz w:val="22"/>
        </w:rPr>
      </w:pPr>
      <w:r>
        <w:rPr>
          <w:rFonts w:cs="Times" w:ascii="Times" w:hAnsi="Times"/>
          <w:sz w:val="22"/>
        </w:rPr>
        <w:t>16-20 Chater Road,</w:t>
      </w:r>
    </w:p>
    <w:p>
      <w:pPr>
        <w:pStyle w:val="Normal"/>
        <w:spacing w:lineRule="auto" w:line="240"/>
        <w:ind w:start="5760" w:end="0"/>
        <w:rPr>
          <w:rFonts w:ascii="Times" w:hAnsi="Times" w:cs="Times"/>
          <w:sz w:val="22"/>
        </w:rPr>
      </w:pPr>
      <w:r>
        <w:rPr>
          <w:rFonts w:cs="Times" w:ascii="Times" w:hAnsi="Times"/>
          <w:sz w:val="22"/>
        </w:rPr>
        <w:t>Central,</w:t>
      </w:r>
    </w:p>
    <w:p>
      <w:pPr>
        <w:pStyle w:val="Normal"/>
        <w:spacing w:lineRule="auto" w:line="240"/>
        <w:ind w:start="5760" w:end="0"/>
        <w:rPr>
          <w:rFonts w:ascii="Times" w:hAnsi="Times" w:cs="Times"/>
          <w:sz w:val="22"/>
        </w:rPr>
      </w:pPr>
      <w:r>
        <w:rPr>
          <w:rFonts w:cs="Times" w:ascii="Times" w:hAnsi="Times"/>
          <w:sz w:val="22"/>
        </w:rPr>
        <w:t>Hong Kong.</w:t>
      </w:r>
    </w:p>
    <w:p>
      <w:pPr>
        <w:pStyle w:val="Normal"/>
        <w:spacing w:lineRule="auto" w:line="240"/>
        <w:ind w:start="5760" w:end="0"/>
        <w:rPr>
          <w:rFonts w:ascii="Times" w:hAnsi="Times" w:cs="Times"/>
          <w:sz w:val="22"/>
        </w:rPr>
      </w:pPr>
      <w:r>
        <w:rPr>
          <w:rFonts w:cs="Times" w:ascii="Times" w:hAnsi="Times"/>
          <w:sz w:val="22"/>
        </w:rPr>
      </w:r>
    </w:p>
    <w:p>
      <w:pPr>
        <w:pStyle w:val="Normal"/>
        <w:spacing w:lineRule="auto" w:line="240" w:before="0" w:after="60"/>
        <w:ind w:start="5760" w:end="0"/>
        <w:rPr>
          <w:rFonts w:ascii="Times" w:hAnsi="Times" w:cs="Times"/>
          <w:sz w:val="22"/>
        </w:rPr>
      </w:pPr>
      <w:r>
        <w:rPr>
          <w:rFonts w:cs="Times" w:ascii="Times" w:hAnsi="Times"/>
          <w:sz w:val="22"/>
        </w:rPr>
        <w:t>Ref:  CXW</w:t>
      </w:r>
    </w:p>
    <w:p>
      <w:pPr>
        <w:pStyle w:val="Normal"/>
        <w:spacing w:lineRule="auto" w:line="240" w:before="0" w:after="60"/>
        <w:ind w:start="5760" w:end="0"/>
        <w:rPr>
          <w:rFonts w:ascii="Times" w:hAnsi="Times" w:cs="Times"/>
          <w:b/>
          <w:sz w:val="22"/>
        </w:rPr>
      </w:pPr>
      <w:r>
        <w:rPr>
          <w:rFonts w:cs="Times" w:ascii="Times" w:hAnsi="Times"/>
          <w:sz w:val="22"/>
        </w:rPr>
        <w:t>Tel: 2842 4888</w:t>
      </w:r>
    </w:p>
    <w:p>
      <w:pPr>
        <w:pStyle w:val="Normal"/>
        <w:spacing w:lineRule="auto" w:line="240"/>
        <w:ind w:start="5760" w:end="0"/>
        <w:rPr>
          <w:rFonts w:ascii="Times" w:hAnsi="Times" w:cs="Times"/>
          <w:sz w:val="22"/>
          <w:u w:val="single"/>
        </w:rPr>
      </w:pPr>
      <w:r>
        <w:rPr>
          <w:rFonts w:cs="Times" w:ascii="Times" w:hAnsi="Times"/>
          <w:sz w:val="22"/>
          <w:u w:val="single"/>
        </w:rPr>
        <w:t>Solicitors for the Applicant</w:t>
      </w:r>
    </w:p>
    <w:sectPr>
      <w:headerReference w:type="default" r:id="rId4"/>
      <w:headerReference w:type="first" r:id="rId5"/>
      <w:footerReference w:type="default" r:id="rId6"/>
      <w:footerReference w:type="first" r:id="rId7"/>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A01262692</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0.0a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01 Apr 2001</w:t>
    </w:r>
    <w:r>
      <w:rPr>
        <w:sz w:val="18"/>
        <w:rFonts w:cs="Times" w:ascii="Times" w:hAnsi="Times"/>
      </w:rPr>
      <w:fldChar w:fldCharType="end"/>
    </w:r>
  </w:p>
  <w:p>
    <w:pPr>
      <w:pStyle w:val="Footer"/>
      <w:pBdr>
        <w:top w:val="nil"/>
      </w:pBdr>
      <w:jc w:val="center"/>
      <w:rPr/>
    </w:pPr>
    <w:r>
      <w:rPr>
        <w:rStyle w:val="PageNumber"/>
        <w:rFonts w:cs="Times" w:ascii="Times" w:hAnsi="Times"/>
        <w:sz w:val="18"/>
      </w:rPr>
      <w:t xml:space="preserve">- </w:t>
    </w:r>
    <w:r>
      <w:rPr>
        <w:rStyle w:val="PageNumber"/>
        <w:rFonts w:cs="Times" w:ascii="Times" w:hAnsi="Times"/>
        <w:sz w:val="18"/>
      </w:rPr>
      <w:fldChar w:fldCharType="begin"/>
    </w:r>
    <w:r>
      <w:rPr>
        <w:rStyle w:val="PageNumber"/>
        <w:sz w:val="18"/>
        <w:rFonts w:cs="Times" w:ascii="Times" w:hAnsi="Times"/>
      </w:rPr>
      <w:instrText xml:space="preserve"> PAGE </w:instrText>
    </w:r>
    <w:r>
      <w:rPr>
        <w:rStyle w:val="PageNumber"/>
        <w:sz w:val="18"/>
        <w:rFonts w:cs="Times" w:ascii="Times" w:hAnsi="Times"/>
      </w:rPr>
      <w:fldChar w:fldCharType="separate"/>
    </w:r>
    <w:r>
      <w:rPr>
        <w:rStyle w:val="PageNumber"/>
        <w:sz w:val="18"/>
        <w:rFonts w:cs="Times" w:ascii="Times" w:hAnsi="Times"/>
      </w:rPr>
      <w:t>8</w:t>
    </w:r>
    <w:r>
      <w:rPr>
        <w:rStyle w:val="PageNumber"/>
        <w:sz w:val="18"/>
        <w:rFonts w:cs="Times" w:ascii="Times" w:hAnsi="Times"/>
      </w:rPr>
      <w:fldChar w:fldCharType="end"/>
    </w:r>
    <w:r>
      <w:rPr>
        <w:rStyle w:val="PageNumber"/>
        <w:rFonts w:cs="Times" w:ascii="Times" w:hAnsi="Times"/>
        <w:sz w:val="18"/>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A01262692</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0.0a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01 Apr 2001</w:t>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31"/>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Arial" w:hAnsi="Arial" w:cs="Arial"/>
      <w:b/>
      <w:i w:val="false"/>
      <w:sz w:val="21"/>
    </w:rPr>
  </w:style>
  <w:style w:type="character" w:styleId="WW8Num8z1">
    <w:name w:val="WW8Num8z1"/>
    <w:qFormat/>
    <w:rPr>
      <w:rFonts w:ascii="Arial" w:hAnsi="Arial" w:cs="Arial"/>
      <w:b/>
      <w:i w:val="false"/>
      <w:sz w:val="20"/>
    </w:rPr>
  </w:style>
  <w:style w:type="character" w:styleId="WW8Num8z2">
    <w:name w:val="WW8Num8z2"/>
    <w:qFormat/>
    <w:rPr>
      <w:b/>
      <w:i w:val="false"/>
      <w:sz w:val="17"/>
    </w:rPr>
  </w:style>
  <w:style w:type="character" w:styleId="WW8Num9z0">
    <w:name w:val="WW8Num9z0"/>
    <w:qFormat/>
    <w:rPr>
      <w:rFonts w:ascii="Times" w:hAnsi="Times" w:cs="Times"/>
      <w:b/>
      <w:i w:val="false"/>
      <w:sz w:val="22"/>
    </w:rPr>
  </w:style>
  <w:style w:type="character" w:styleId="WW8Num10z0">
    <w:name w:val="WW8Num10z0"/>
    <w:qFormat/>
    <w:rPr>
      <w:rFonts w:ascii="Arial" w:hAnsi="Arial" w:cs="Arial"/>
      <w:b/>
      <w:i w:val="false"/>
      <w:sz w:val="20"/>
    </w:rPr>
  </w:style>
  <w:style w:type="character" w:styleId="WW8Num10z2">
    <w:name w:val="WW8Num10z2"/>
    <w:qFormat/>
    <w:rPr>
      <w:rFonts w:ascii="Arial" w:hAnsi="Arial" w:cs="Arial"/>
      <w:b/>
      <w:i w:val="false"/>
      <w:sz w:val="17"/>
    </w:rPr>
  </w:style>
  <w:style w:type="character" w:styleId="WW8Num10z3">
    <w:name w:val="WW8Num10z3"/>
    <w:qFormat/>
    <w:rPr>
      <w:rFonts w:ascii="Arial" w:hAnsi="Arial" w:cs="Arial"/>
      <w:b w:val="false"/>
      <w:i w:val="false"/>
      <w:sz w:val="20"/>
    </w:rPr>
  </w:style>
  <w:style w:type="character" w:styleId="WW8Num11z0">
    <w:name w:val="WW8Num11z0"/>
    <w:qFormat/>
    <w:rPr>
      <w:rFonts w:ascii="Arial" w:hAnsi="Arial" w:cs="Arial"/>
      <w:b w:val="false"/>
      <w:i w:val="false"/>
      <w:sz w:val="20"/>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b/>
      <w:i w:val="false"/>
    </w:rPr>
  </w:style>
  <w:style w:type="character" w:styleId="WW8Num16z0">
    <w:name w:val="WW8Num16z0"/>
    <w:qFormat/>
    <w:rPr>
      <w:rFonts w:ascii="Symbol" w:hAnsi="Symbol" w:cs="Symbol"/>
    </w:rPr>
  </w:style>
  <w:style w:type="character" w:styleId="WW8Num17z0">
    <w:name w:val="WW8Num17z0"/>
    <w:qFormat/>
    <w:rPr>
      <w:b/>
      <w:i w:val="false"/>
      <w:sz w:val="20"/>
    </w:rPr>
  </w:style>
  <w:style w:type="character" w:styleId="WW8Num18z0">
    <w:name w:val="WW8Num18z0"/>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8z0">
    <w:name w:val="WW8Num28z0"/>
    <w:qFormat/>
    <w:rPr>
      <w:rFonts w:ascii="Arial" w:hAnsi="Arial" w:cs="Arial"/>
      <w:b w:val="false"/>
      <w:i w:val="false"/>
      <w:sz w:val="20"/>
    </w:rPr>
  </w:style>
  <w:style w:type="character" w:styleId="WW8Num29z0">
    <w:name w:val="WW8Num29z0"/>
    <w:qFormat/>
    <w:rPr>
      <w:rFonts w:ascii="Symbol" w:hAnsi="Symbol" w:cs="Symbol"/>
    </w:rPr>
  </w:style>
  <w:style w:type="character" w:styleId="WW8Num31z0">
    <w:name w:val="WW8Num31z0"/>
    <w:qFormat/>
    <w:rPr>
      <w:rFonts w:ascii="Arial" w:hAnsi="Arial" w:cs="Arial"/>
      <w:b/>
      <w:i w:val="false"/>
      <w:sz w:val="22"/>
    </w:rPr>
  </w:style>
  <w:style w:type="character" w:styleId="WW8Num31z1">
    <w:name w:val="WW8Num31z1"/>
    <w:qFormat/>
    <w:rPr>
      <w:rFonts w:ascii="Arial" w:hAnsi="Arial" w:cs="Arial"/>
      <w:b w:val="false"/>
      <w:i w:val="false"/>
      <w:sz w:val="20"/>
    </w:rPr>
  </w:style>
  <w:style w:type="character" w:styleId="WW8Num33z0">
    <w:name w:val="WW8Num33z0"/>
    <w:qFormat/>
    <w:rPr>
      <w:rFonts w:ascii="Symbol" w:hAnsi="Symbol" w:cs="Symbol"/>
    </w:rPr>
  </w:style>
  <w:style w:type="character" w:styleId="WW8Num34z0">
    <w:name w:val="WW8Num34z0"/>
    <w:qFormat/>
    <w:rPr>
      <w:rFonts w:ascii="Arial" w:hAnsi="Arial" w:cs="Arial"/>
      <w:b w:val="false"/>
      <w:i w:val="false"/>
      <w:sz w:val="20"/>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i w:val="false"/>
      <w:sz w:val="20"/>
    </w:rPr>
  </w:style>
  <w:style w:type="character" w:styleId="WW8Num37z1">
    <w:name w:val="WW8Num37z1"/>
    <w:qFormat/>
    <w:rPr>
      <w:rFonts w:ascii="Arial" w:hAnsi="Arial" w:cs="Arial"/>
      <w:b/>
      <w:i w:val="false"/>
      <w:sz w:val="19"/>
    </w:rPr>
  </w:style>
  <w:style w:type="character" w:styleId="WW8Num37z2">
    <w:name w:val="WW8Num37z2"/>
    <w:qFormat/>
    <w:rPr>
      <w:rFonts w:ascii="Arial" w:hAnsi="Arial" w:cs="Arial"/>
      <w:b w:val="false"/>
      <w:i w:val="false"/>
      <w:sz w:val="17"/>
    </w:rPr>
  </w:style>
  <w:style w:type="character" w:styleId="WW8Num38z0">
    <w:name w:val="WW8Num38z0"/>
    <w:qFormat/>
    <w:rPr>
      <w:rFonts w:ascii="Arial" w:hAnsi="Arial" w:cs="Arial"/>
      <w:b w:val="false"/>
      <w:i w:val="false"/>
      <w:sz w:val="20"/>
    </w:rPr>
  </w:style>
  <w:style w:type="character" w:styleId="WW8Num39z0">
    <w:name w:val="WW8Num39z0"/>
    <w:qFormat/>
    <w:rPr>
      <w:rFonts w:ascii="Symbol" w:hAnsi="Symbol" w:cs="Symbol"/>
    </w:rPr>
  </w:style>
  <w:style w:type="character" w:styleId="WW8Num40z0">
    <w:name w:val="WW8Num40z0"/>
    <w:qFormat/>
    <w:rPr>
      <w:rFonts w:ascii="Arial" w:hAnsi="Arial" w:cs="Arial"/>
      <w:b w:val="false"/>
      <w:i w:val="false"/>
      <w:sz w:val="20"/>
    </w:rPr>
  </w:style>
  <w:style w:type="character" w:styleId="WW8Num42z0">
    <w:name w:val="WW8Num42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5z0">
    <w:name w:val="WW8Num45z0"/>
    <w:qFormat/>
    <w:rPr>
      <w:rFonts w:ascii="Arial" w:hAnsi="Arial" w:cs="Arial"/>
      <w:b w:val="false"/>
      <w:i w:val="false"/>
      <w:sz w:val="20"/>
    </w:rPr>
  </w:style>
  <w:style w:type="character" w:styleId="WW8Num46z0">
    <w:name w:val="WW8Num46z0"/>
    <w:qFormat/>
    <w:rPr>
      <w:rFonts w:ascii="Symbol" w:hAnsi="Symbol" w:cs="Symbol"/>
    </w:rPr>
  </w:style>
  <w:style w:type="character" w:styleId="WW8Num48z0">
    <w:name w:val="WW8Num48z0"/>
    <w:qFormat/>
    <w:rPr>
      <w:rFonts w:ascii="Arial" w:hAnsi="Arial" w:cs="Arial"/>
      <w:b/>
      <w:i w:val="false"/>
      <w:sz w:val="22"/>
    </w:rPr>
  </w:style>
  <w:style w:type="character" w:styleId="WW8Num48z1">
    <w:name w:val="WW8Num48z1"/>
    <w:qFormat/>
    <w:rPr>
      <w:rFonts w:ascii="Arial" w:hAnsi="Arial" w:cs="Arial"/>
      <w:b/>
      <w:i w:val="false"/>
      <w:sz w:val="21"/>
    </w:rPr>
  </w:style>
  <w:style w:type="character" w:styleId="WW8Num48z2">
    <w:name w:val="WW8Num48z2"/>
    <w:qFormat/>
    <w:rPr>
      <w:rFonts w:ascii="Arial" w:hAnsi="Arial" w:cs="Arial"/>
      <w:b/>
      <w:i w:val="false"/>
      <w:sz w:val="17"/>
    </w:rPr>
  </w:style>
  <w:style w:type="character" w:styleId="WW8Num48z3">
    <w:name w:val="WW8Num48z3"/>
    <w:qFormat/>
    <w:rPr>
      <w:rFonts w:ascii="Arial" w:hAnsi="Arial" w:cs="Arial"/>
      <w:b w:val="false"/>
      <w:i w:val="false"/>
      <w:sz w:val="20"/>
    </w:rPr>
  </w:style>
  <w:style w:type="character" w:styleId="WW8Num49z0">
    <w:name w:val="WW8Num49z0"/>
    <w:qFormat/>
    <w:rPr>
      <w:rFonts w:ascii="Symbol" w:hAnsi="Symbol" w:cs="Symbol"/>
    </w:rPr>
  </w:style>
  <w:style w:type="character" w:styleId="WW8Num50z0">
    <w:name w:val="WW8Num50z0"/>
    <w:qFormat/>
    <w:rPr>
      <w:rFonts w:ascii="Arial" w:hAnsi="Arial" w:cs="Arial"/>
      <w:b w:val="false"/>
      <w:i w:val="false"/>
      <w:sz w:val="20"/>
    </w:rPr>
  </w:style>
  <w:style w:type="character" w:styleId="WW8Num51z0">
    <w:name w:val="WW8Num51z0"/>
    <w:qFormat/>
    <w:rPr>
      <w:b/>
      <w:i w:val="false"/>
    </w:rPr>
  </w:style>
  <w:style w:type="character" w:styleId="WW8Num52z0">
    <w:name w:val="WW8Num52z0"/>
    <w:qFormat/>
    <w:rPr>
      <w:rFonts w:ascii="Symbol" w:hAnsi="Symbol" w:cs="Symbol"/>
      <w:b w:val="false"/>
      <w:i w:val="false"/>
      <w:sz w:val="20"/>
    </w:rPr>
  </w:style>
  <w:style w:type="character" w:styleId="WW8Num54z0">
    <w:name w:val="WW8Num54z0"/>
    <w:qFormat/>
    <w:rPr>
      <w:rFonts w:ascii="Arial" w:hAnsi="Arial" w:cs="Arial"/>
      <w:b w:val="false"/>
      <w:i w:val="false"/>
      <w:sz w:val="20"/>
    </w:rPr>
  </w:style>
  <w:style w:type="character" w:styleId="WW8Num57z0">
    <w:name w:val="WW8Num57z0"/>
    <w:qFormat/>
    <w:rPr>
      <w:rFonts w:ascii="Arial" w:hAnsi="Arial" w:cs="Arial"/>
      <w:b/>
      <w:i w:val="false"/>
      <w:sz w:val="20"/>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i w:val="false"/>
      <w:sz w:val="21"/>
    </w:rPr>
  </w:style>
  <w:style w:type="character" w:styleId="WW8Num59z1">
    <w:name w:val="WW8Num59z1"/>
    <w:qFormat/>
    <w:rPr>
      <w:rFonts w:ascii="Arial" w:hAnsi="Arial" w:cs="Arial"/>
      <w:b/>
      <w:i w:val="false"/>
      <w:sz w:val="20"/>
    </w:rPr>
  </w:style>
  <w:style w:type="character" w:styleId="WW8Num59z2">
    <w:name w:val="WW8Num59z2"/>
    <w:qFormat/>
    <w:rPr>
      <w:rFonts w:ascii="Arial" w:hAnsi="Arial" w:cs="Arial"/>
      <w:b/>
      <w:i w:val="false"/>
      <w:sz w:val="17"/>
    </w:rPr>
  </w:style>
  <w:style w:type="character" w:styleId="WW8Num59z3">
    <w:name w:val="WW8Num59z3"/>
    <w:qFormat/>
    <w:rPr>
      <w:rFonts w:ascii="Arial" w:hAnsi="Arial" w:cs="Arial"/>
      <w:b w:val="false"/>
      <w:i w:val="false"/>
      <w:sz w:val="20"/>
    </w:rPr>
  </w:style>
  <w:style w:type="character" w:styleId="WW8Num60z0">
    <w:name w:val="WW8Num60z0"/>
    <w:qFormat/>
    <w:rPr>
      <w:rFonts w:ascii="Arial" w:hAnsi="Arial" w:cs="Arial"/>
      <w:b w:val="false"/>
      <w:i w:val="false"/>
      <w:sz w:val="20"/>
    </w:rPr>
  </w:style>
  <w:style w:type="character" w:styleId="WW8Num61z0">
    <w:name w:val="WW8Num61z0"/>
    <w:qFormat/>
    <w:rPr>
      <w:rFonts w:ascii="Symbol" w:hAnsi="Symbol" w:cs="Symbol"/>
    </w:rPr>
  </w:style>
  <w:style w:type="character" w:styleId="WW8Num62z0">
    <w:name w:val="WW8Num62z0"/>
    <w:qFormat/>
    <w:rPr>
      <w:rFonts w:ascii="Arial" w:hAnsi="Arial" w:cs="Arial"/>
      <w:b w:val="false"/>
      <w:i w:val="false"/>
      <w:sz w:val="20"/>
    </w:rPr>
  </w:style>
  <w:style w:type="character" w:styleId="WW8Num63z0">
    <w:name w:val="WW8Num63z0"/>
    <w:qFormat/>
    <w:rPr>
      <w:rFonts w:ascii="Arial" w:hAnsi="Arial" w:cs="Arial"/>
      <w:b w:val="false"/>
      <w:i w:val="false"/>
      <w:sz w:val="20"/>
    </w:rPr>
  </w:style>
  <w:style w:type="character" w:styleId="WW8Num64z0">
    <w:name w:val="WW8Num64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2001-04-01T06:42:00Z</dcterms:created>
  <dc:creator>Any Authorised User</dc:creator>
  <dc:description/>
  <dc:language>en-CA</dc:language>
  <cp:lastModifiedBy>Any Authorised User</cp:lastModifiedBy>
  <cp:lastPrinted>2001-04-01T21:42:00Z</cp:lastPrinted>
  <dcterms:modified xsi:type="dcterms:W3CDTF">2001-04-01T11:10:00Z</dcterms:modified>
  <cp:revision>15</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A01262692</vt:lpwstr>
  </property>
  <property fmtid="{D5CDD505-2E9C-101B-9397-08002B2CF9AE}" pid="3" name="Last Modified">
    <vt:lpwstr>01 Apr 2001</vt:lpwstr>
  </property>
  <property fmtid="{D5CDD505-2E9C-101B-9397-08002B2CF9AE}" pid="4" name="Template Version">
    <vt:lpwstr>6.5a</vt:lpwstr>
  </property>
  <property fmtid="{D5CDD505-2E9C-101B-9397-08002B2CF9AE}" pid="5" name="Version">
    <vt:lpwstr>0.0a</vt:lpwstr>
  </property>
</Properties>
</file>