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pPr>
      <w:r>
        <w:rPr>
          <w:b/>
        </w:rPr>
        <w:t xml:space="preserve">BEFORE THE </w:t>
      </w:r>
      <w:r>
        <w:rPr>
          <w:b/>
          <w:bCs/>
        </w:rPr>
        <w:t>FEDERAL ENERGY REGULATORY COMMISSION</w:t>
      </w:r>
    </w:p>
    <w:p>
      <w:pPr>
        <w:pStyle w:val="Normal"/>
        <w:tabs>
          <w:tab w:val="left" w:pos="720" w:leader="none"/>
        </w:tabs>
        <w:autoSpaceDE w:val="false"/>
        <w:ind w:start="1080" w:end="0"/>
        <w:rPr>
          <w:b/>
          <w:bCs/>
        </w:rPr>
      </w:pPr>
      <w:r>
        <w:rPr>
          <w:b/>
          <w:bCs/>
        </w:rPr>
      </w:r>
    </w:p>
    <w:p>
      <w:pPr>
        <w:pStyle w:val="Normal"/>
        <w:rPr/>
      </w:pPr>
      <w:r>
        <w:rPr/>
        <w:t xml:space="preserve">Removing Obstacles to Increased Electric </w:t>
        <w:tab/>
        <w:t>)</w:t>
        <w:tab/>
        <w:t>Docket No. EL01-47-000</w:t>
      </w:r>
    </w:p>
    <w:p>
      <w:pPr>
        <w:pStyle w:val="Normal"/>
        <w:rPr/>
      </w:pPr>
      <w:r>
        <w:rPr/>
        <w:t>Generation and Natural Gas Supply In The</w:t>
        <w:tab/>
        <w:t>)</w:t>
      </w:r>
    </w:p>
    <w:p>
      <w:pPr>
        <w:pStyle w:val="Normal"/>
        <w:rPr/>
      </w:pPr>
      <w:r>
        <w:rPr/>
        <w:t>Western United States</w:t>
        <w:tab/>
        <w:tab/>
        <w:tab/>
        <w:tab/>
        <w:t>)</w:t>
      </w:r>
    </w:p>
    <w:p>
      <w:pPr>
        <w:pStyle w:val="Normal"/>
        <w:rPr/>
      </w:pPr>
      <w:r>
        <w:rPr/>
      </w:r>
    </w:p>
    <w:p>
      <w:pPr>
        <w:pStyle w:val="Heading3"/>
        <w:rPr/>
      </w:pPr>
      <w:r>
        <w:rPr/>
        <w:t>COMMENTS OF THE</w:t>
      </w:r>
    </w:p>
    <w:p>
      <w:pPr>
        <w:pStyle w:val="Heading3"/>
        <w:rPr/>
      </w:pPr>
      <w:r>
        <w:rPr/>
        <w:t>INDEPENDENT ENERGY PRODUCERS ASSOCIATION</w:t>
      </w:r>
    </w:p>
    <w:p>
      <w:pPr>
        <w:pStyle w:val="Normal"/>
        <w:jc w:val="center"/>
        <w:rPr>
          <w:b/>
          <w:bCs/>
        </w:rPr>
      </w:pPr>
      <w:r>
        <w:rPr>
          <w:b/>
          <w:bCs/>
        </w:rPr>
        <w:t xml:space="preserve">REGARDING MARCH 14 ORDER ON </w:t>
      </w:r>
    </w:p>
    <w:p>
      <w:pPr>
        <w:pStyle w:val="Normal"/>
        <w:jc w:val="center"/>
        <w:rPr>
          <w:b/>
          <w:bCs/>
        </w:rPr>
      </w:pPr>
      <w:r>
        <w:rPr>
          <w:b/>
          <w:bCs/>
        </w:rPr>
        <w:t>REMOVING OBSTACLES TO INCREASED ELECTRIC GENERATION AND NATURAL GAS SUPPLY IN THE WESTERN UNITED STATES</w:t>
      </w:r>
    </w:p>
    <w:p>
      <w:pPr>
        <w:pStyle w:val="Normal"/>
        <w:rPr>
          <w:b/>
          <w:bCs/>
        </w:rPr>
      </w:pPr>
      <w:r>
        <w:rPr>
          <w:b/>
          <w:bCs/>
        </w:rPr>
      </w:r>
    </w:p>
    <w:p>
      <w:pPr>
        <w:pStyle w:val="BodyTextIndent3"/>
        <w:rPr/>
      </w:pPr>
      <w:r>
        <w:rPr>
          <w:b/>
          <w:bCs/>
        </w:rPr>
        <w:tab/>
      </w:r>
      <w:r>
        <w:rPr/>
        <w:t xml:space="preserve">Pursuant to the Schedule established in the March 14, 2001, </w:t>
      </w:r>
      <w:r>
        <w:rPr>
          <w:i/>
          <w:iCs/>
        </w:rPr>
        <w:t>Order Removing Obstacles to Increased Electric Generation and Natural Gas Supply in the Western United States and Requesting Comments on Further Actions to Increase Energy Supply and Decrease Energy Consumption</w:t>
      </w:r>
      <w:r>
        <w:rPr/>
        <w:t xml:space="preserve"> (hereinafter “Obstacles Order”) published in the above captioned proceedings, the Independent Energy Producers Association (“IEP”) provides to the Federal Energy Regulatory Commission (“FERC” or “Commission” ) its comments.  As discussed below, IEP supports a number of the steps taken by the Commission in response to the serious supply and demand imbalance that has developed within the Western Interconnection.  We provide the concise and focused comments that are intended to improve upon those steps, particularly as they pertain to the utility financial crisis in California.  </w:t>
      </w:r>
    </w:p>
    <w:p>
      <w:pPr>
        <w:pStyle w:val="BodyTextIndent3"/>
        <w:keepNext w:val="true"/>
        <w:ind w:hanging="0" w:end="0"/>
        <w:rPr/>
      </w:pPr>
      <w:r>
        <w:rPr/>
        <w:t>I.</w:t>
        <w:tab/>
      </w:r>
      <w:r>
        <w:rPr>
          <w:u w:val="single"/>
        </w:rPr>
        <w:t>IEP’s Interest in this Proceeding</w:t>
      </w:r>
    </w:p>
    <w:p>
      <w:pPr>
        <w:pStyle w:val="Normal"/>
        <w:spacing w:lineRule="auto" w:line="480"/>
        <w:rPr/>
      </w:pPr>
      <w:r>
        <w:rPr/>
        <w:tab/>
        <w:t>IEP is a nonprofit trade association representing the interests of electric generators and certified independent power marketers in California.  The majority of IEP’s membership consists of the owners and operators of exempt wholesale generators and qualifying facility (“QF”) projects using gas-fired thermal, cogeneration, solar-thermal, wind, biomass and geothermal technologies.  Some of these supply resources are contractually committed to the large investor-owned utilities (“IOUs”), while others participate directly in various market throughout the western region, including CAISO’s Ancillary Services, Adjustment and Supplemental Energy markets.  IEP’s members collectively own and operate more than 20,000 MW of installed generating capacity participating in California’s competitive markets, and many are actively pursuing new project developments throughout the Western Interconnection.  In addition, power marketers, significant participants in the California markets, are also included within IEP’s membership.  Other members, consisting of consultants and law firms, provide support services for the industry.</w:t>
      </w:r>
    </w:p>
    <w:p>
      <w:pPr>
        <w:pStyle w:val="BodyTextIndent3"/>
        <w:keepNext w:val="true"/>
        <w:numPr>
          <w:ilvl w:val="0"/>
          <w:numId w:val="2"/>
        </w:numPr>
        <w:rPr>
          <w:u w:val="single"/>
        </w:rPr>
      </w:pPr>
      <w:r>
        <w:rPr>
          <w:u w:val="single"/>
        </w:rPr>
        <w:t>The Commissions Actions  Should Assist in the Region’s Difficulties</w:t>
      </w:r>
    </w:p>
    <w:p>
      <w:pPr>
        <w:pStyle w:val="BodyTextIndent3"/>
        <w:keepNext w:val="true"/>
        <w:ind w:firstLine="720" w:end="0"/>
        <w:rPr>
          <w:u w:val="single"/>
        </w:rPr>
      </w:pPr>
      <w:r>
        <w:rPr/>
        <w:t xml:space="preserve">IEP agrees with the direction and scope of actions that Commission has taken to help clear the way for the states in the West to undertake significant demand response and existing electric capacity to bear in the wholesale markets.  Moreover, in an effort to anticipate potential natural gas and electric bottleneck, the Commission has taken bold steps to accelerate such investments.  Unfortunately, it is not clear to IEP how those incentives can work in California where the California Commission continues to maintain the rate freeze that has placed the utilities in an untenable financial position.  Put simply, return on equity incentives are not likely to elicit response from entities that cannot finance current obligations, much less new infrastructure.  </w:t>
      </w:r>
    </w:p>
    <w:p>
      <w:pPr>
        <w:pStyle w:val="BodyTextIndent3"/>
        <w:keepNext w:val="true"/>
        <w:numPr>
          <w:ilvl w:val="0"/>
          <w:numId w:val="2"/>
        </w:numPr>
        <w:rPr>
          <w:u w:val="single"/>
        </w:rPr>
      </w:pPr>
      <w:r>
        <w:rPr>
          <w:u w:val="single"/>
        </w:rPr>
        <w:t>Additional Steps Regarding Qualifying Facilities</w:t>
      </w:r>
    </w:p>
    <w:p>
      <w:pPr>
        <w:pStyle w:val="BodyTextIndent3"/>
        <w:rPr/>
      </w:pPr>
      <w:r>
        <w:rPr/>
        <w:t>One of the steps taken by the Commission is an additional extension of  waivers applicable to QFs.  IEP supports this action as a means of allowing additional generation throughout the West.  However, insofar as it applies to QFs within California, IEP notes that the greatest obstacle to the continued and increased operation of the QFs is the failure of the utilities, as well as the California Commission, to ensure that these facilities are paid for production.  As the Commission is well aware, the recent rotating outages and disruption of service to firm loads in California was related to, in part, reduced production from QFs.  Those highly reliable facilities were forced to shut down because many had not been paid in full since November of 2000.  Indeed, even the most recent actions by the California Commission fail to address, in any way, shape or form, the past due amounts.</w:t>
      </w:r>
      <w:r>
        <w:rPr>
          <w:rStyle w:val="FootnoteCharacters"/>
          <w:rStyle w:val="FootnoteReference"/>
        </w:rPr>
        <w:footnoteReference w:id="2"/>
      </w:r>
      <w:r>
        <w:rPr/>
        <w:t xml:space="preserve">  Put simply, IEP is concerned that a portion of capacity available to the California utilities at prices significantly below the current and anticipated spot market prices may not be available because there is no mechanism to ensure payment of the past due amounts.   If not rectified, these QFs may be forced to undertake alternative routes to provide power to California.  In anticipation of that need, the Commission should expand its Obstacles Order to address the issues described below.</w:t>
      </w:r>
    </w:p>
    <w:p>
      <w:pPr>
        <w:pStyle w:val="BodyTextIndent3"/>
        <w:numPr>
          <w:ilvl w:val="1"/>
          <w:numId w:val="2"/>
        </w:numPr>
        <w:spacing w:lineRule="auto" w:line="240"/>
        <w:rPr/>
      </w:pPr>
      <w:r>
        <w:rPr>
          <w:u w:val="single"/>
        </w:rPr>
        <w:t>Beyond Waiver of Regulations, the Commission Should Fashion A Mechanism Which Penalized Utilities If They Assert Contract Breaches By QFs Who Act Upon The Waivers</w:t>
      </w:r>
    </w:p>
    <w:p>
      <w:pPr>
        <w:pStyle w:val="BodyTextIndent3"/>
        <w:spacing w:lineRule="auto" w:line="240"/>
        <w:ind w:hanging="0" w:end="0"/>
        <w:rPr/>
      </w:pPr>
      <w:r>
        <w:rPr/>
      </w:r>
    </w:p>
    <w:p>
      <w:pPr>
        <w:pStyle w:val="BodyTextIndent3"/>
        <w:rPr/>
      </w:pPr>
      <w:r>
        <w:rPr/>
        <w:t xml:space="preserve">As IEP pointed out in its comments on the Commission’s December 15 Order in EL00-95, most California QFs have provided a “warranty” under their contracts with the utilities which assures compliance with the FERC regulations.  This contractual obligation is distinct from the QFs’ obligation to the Commission to satisfy the regulations.  While the Commission may waive those regulations to encourage additional supply, as it has done, neither the FERC or the California Commission can direct the modification of the existing QF-utility contracts.  This places QFs in a potentially difficult position in which they must assume that the utility will waive the applicable contract provision.  Given the utilities’ historic hostility toward QFs, it would not be unreasonable for a QF to be concerned that the utility would take the perverse step of pursuing litigation against a generator that has relied on the Commission’s waiver.  However, to avoid such a perverse outcome, either the FERC or the California Commission could create a disincentive to the utilities should they attempt </w:t>
      </w:r>
    </w:p>
    <w:p>
      <w:pPr>
        <w:pStyle w:val="BodyTextIndent3"/>
        <w:numPr>
          <w:ilvl w:val="1"/>
          <w:numId w:val="2"/>
        </w:numPr>
        <w:spacing w:lineRule="auto" w:line="240"/>
        <w:rPr>
          <w:u w:val="single"/>
        </w:rPr>
      </w:pPr>
      <w:r>
        <w:rPr>
          <w:u w:val="single"/>
        </w:rPr>
        <w:t>The Commission Must Direct the ISO to Provide A Seamless Interconnection Process for Existing Facilities.</w:t>
      </w:r>
    </w:p>
    <w:p>
      <w:pPr>
        <w:pStyle w:val="BodyTextIndent3"/>
        <w:spacing w:lineRule="auto" w:line="240"/>
        <w:ind w:hanging="0" w:start="725" w:end="0"/>
        <w:rPr>
          <w:u w:val="single"/>
        </w:rPr>
      </w:pPr>
      <w:r>
        <w:rPr>
          <w:u w:val="single"/>
        </w:rPr>
      </w:r>
    </w:p>
    <w:p>
      <w:pPr>
        <w:pStyle w:val="BodyTextIndent3"/>
        <w:ind w:hanging="0" w:end="0"/>
        <w:rPr/>
      </w:pPr>
      <w:r>
        <w:rPr/>
        <w:tab/>
        <w:t>Existing QFs operate pursuant to contracts which include provisions for interconnection to the utility system.  Obviously these provisions pre-date the development of open access policies.  The current interconnection processes outlined in Order 888 and the CAISO Tariff, Transmission Owners Tariff and Wholesale Distribution Access Tariffs all begin with the presumption that the facility seeking interconnection is a new project.  Such is not the case with QFs already in operation.  There is no need for system impact studies, facility studies, or any other process more applicable to the interconnection of new capacity.  In the case of QFs who may be forced to suspend or terminate their current arrangement with the utility due to non-payment or other conditions of default, some seamless mechanism must be created to allow the continued operation of the facility.  Because of the utilities’ financial crisis, the immediate need for this mechanism is paramount if California is to avoid supply disruptions.</w:t>
      </w:r>
    </w:p>
    <w:p>
      <w:pPr>
        <w:pStyle w:val="BodyTextIndent3"/>
        <w:numPr>
          <w:ilvl w:val="2"/>
          <w:numId w:val="2"/>
        </w:numPr>
        <w:spacing w:lineRule="auto" w:line="240"/>
        <w:rPr>
          <w:i/>
          <w:i/>
          <w:iCs/>
        </w:rPr>
      </w:pPr>
      <w:r>
        <w:rPr>
          <w:i/>
          <w:iCs/>
        </w:rPr>
        <w:t>Create a Mechanism To Carry Forward, As A Default, The Existing Interconnection Agreement</w:t>
      </w:r>
    </w:p>
    <w:p>
      <w:pPr>
        <w:pStyle w:val="BodyTextIndent3"/>
        <w:spacing w:lineRule="auto" w:line="240"/>
        <w:ind w:hanging="0" w:end="0"/>
        <w:rPr>
          <w:i/>
          <w:i/>
          <w:iCs/>
        </w:rPr>
      </w:pPr>
      <w:r>
        <w:rPr>
          <w:i/>
          <w:iCs/>
        </w:rPr>
      </w:r>
    </w:p>
    <w:p>
      <w:pPr>
        <w:pStyle w:val="BodyTextIndent3"/>
        <w:ind w:firstLine="720" w:end="0"/>
        <w:rPr/>
      </w:pPr>
      <w:r>
        <w:rPr/>
        <w:t xml:space="preserve">The preferred approach, particularly for the immediate circumstances, would be to lift out any previously existing interconnection arrangement.  Survival of those interconnection provisions after suspension or termination of the power purchase arrangement would provide a means to avoid unnecessary stranding of generating capacity due to the lack of creditworthiness of the utility.  This approach could be implemented by the Commission imposing a requirement that the existing facility be given an interconnection agreement on terms no more onerous than those previously in place for that facility as a default.  This seamless default approach recognizes that the facility has not changed in terms of its physical interconnection requirements and can impose no set of new variables to the operation of the transmission system simply as a product of a change in commercial relationships.  </w:t>
      </w:r>
    </w:p>
    <w:p>
      <w:pPr>
        <w:pStyle w:val="BodyTextIndent3"/>
        <w:numPr>
          <w:ilvl w:val="2"/>
          <w:numId w:val="2"/>
        </w:numPr>
        <w:spacing w:lineRule="auto" w:line="240"/>
        <w:rPr>
          <w:i/>
          <w:i/>
          <w:iCs/>
        </w:rPr>
      </w:pPr>
      <w:r>
        <w:rPr>
          <w:i/>
          <w:iCs/>
        </w:rPr>
        <w:t>Require the ISO and the Transmission Owners to Include in Their Interconnection Processes An Approach Specifically Tailored To Existing Facilities.</w:t>
      </w:r>
    </w:p>
    <w:p>
      <w:pPr>
        <w:pStyle w:val="BodyTextIndent3"/>
        <w:spacing w:lineRule="auto" w:line="240"/>
        <w:ind w:firstLine="720" w:end="0"/>
        <w:rPr>
          <w:i/>
          <w:i/>
          <w:iCs/>
        </w:rPr>
      </w:pPr>
      <w:r>
        <w:rPr>
          <w:i/>
          <w:iCs/>
        </w:rPr>
      </w:r>
    </w:p>
    <w:p>
      <w:pPr>
        <w:pStyle w:val="BodyTextIndent3"/>
        <w:ind w:firstLine="720" w:end="0"/>
        <w:rPr/>
      </w:pPr>
      <w:r>
        <w:rPr/>
        <w:t xml:space="preserve">The interconnection processes currently in place fail to adequately accommodate the interconnection of existing faculties which cannot, by definition, require they analytical steps needed for the interconnection of new facilities.  This is a real issue that IEP has brought to the attention of the ISO on a number of occasions during efforts at developing revised processes for new facilities.  However, the current environment in California has highlighted the need to have provisions in place as soon as practicable.  </w:t>
      </w:r>
    </w:p>
    <w:p>
      <w:pPr>
        <w:pStyle w:val="BodyTextIndent3"/>
        <w:ind w:firstLine="720" w:end="0"/>
        <w:rPr/>
      </w:pPr>
      <w:r>
        <w:rPr/>
        <w:t xml:space="preserve">Provisions particular to existing facilities are needed because there will be a number of existing QF facilities that will, at some point of time, exit existing interconnection arrangements associated with their power purchase arrangements.  Depending on the outcome of current events in California regarding the credit crisis, there could be a wave of projects exiting relationships with insolvent utilities.  While such facilities may continue to be QFs under PURPA, some could elect to become merchant generation facilities without the benefits and obligations attendant to QF status.  </w:t>
      </w:r>
    </w:p>
    <w:p>
      <w:pPr>
        <w:pStyle w:val="BodyTextIndent3"/>
        <w:ind w:firstLine="720" w:end="0"/>
        <w:rPr/>
      </w:pPr>
      <w:r>
        <w:rPr/>
        <w:t xml:space="preserve">In any event, tariff provisions are necessary to allow for the continued deliver of these facilities without triggering or requiring time consuming tariff processes not logically associated with generation already incorporated into the transmission grid.  The simple change of contractual or regulatory status alone, absent any increase in generation capacity from that facility, should not necessitate a new round of interconnection impact analysis, new interconnection study fees or imposition of facility upgrades.  It should not require a loss of access to the grid or the relocation of the project to the back of some “interconnection queue.”  To this end, the Commission should require such provisions in all interconnection processes throughout the West, and specifically require and direct the CAISO and the Transmission Owners to include such provisions in their tariffs that will provide for seamless transition in interconnection arrangements.  </w:t>
      </w:r>
    </w:p>
    <w:p>
      <w:pPr>
        <w:pStyle w:val="BodyTextIndent3"/>
        <w:numPr>
          <w:ilvl w:val="0"/>
          <w:numId w:val="2"/>
        </w:numPr>
        <w:spacing w:lineRule="auto" w:line="240"/>
        <w:rPr>
          <w:u w:val="single"/>
        </w:rPr>
      </w:pPr>
      <w:r>
        <w:rPr>
          <w:u w:val="single"/>
        </w:rPr>
        <w:t>Incorporation of Existing Backup Capacity into Wholesale Markets</w:t>
      </w:r>
    </w:p>
    <w:p>
      <w:pPr>
        <w:pStyle w:val="BodyTextIndent3"/>
        <w:spacing w:lineRule="auto" w:line="240"/>
        <w:ind w:hanging="0" w:end="0"/>
        <w:rPr>
          <w:u w:val="single"/>
        </w:rPr>
      </w:pPr>
      <w:r>
        <w:rPr>
          <w:u w:val="single"/>
        </w:rPr>
      </w:r>
    </w:p>
    <w:p>
      <w:pPr>
        <w:pStyle w:val="BodyTextIndent3"/>
        <w:rPr/>
      </w:pPr>
      <w:r>
        <w:rPr/>
        <w:t xml:space="preserve">One of the innovative steps taken by the Commission is the streamlined mechanism which would allow onsite and back-up generation to operate and sell into the wholesale market.  While operation of these limits is likely to be limited by air quality requirements and other regulatory requirements, the removal of rate regulation obstacles by this Commission is to be applauded.  IEP notes, however, that the CAISO has adopted a “gross scheduling requirement” which would require such generation, typically located on the load-side of the site electric meter, to schedule and settle on a gross basis for both the generation and loads of the site.  Moreover, this policy imposes transmission-related charges on the site loads on a gross basis, notwithstanding the fact that the onsite generation provides the power consumed on site.  In the past such arrangements were undertaken on a net basis, which assessed payments and charges for energy delivered at the point of interconnection.   Insofar as the Commission has authorized such action on a temporary basis, there should be, at a minimum a waiver of those requirements, along with associated metering and telemetry requirements, should be taken during this period.  </w:t>
      </w:r>
    </w:p>
    <w:p>
      <w:pPr>
        <w:pStyle w:val="Normal"/>
        <w:keepNext w:val="true"/>
        <w:numPr>
          <w:ilvl w:val="0"/>
          <w:numId w:val="2"/>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u w:val="single"/>
        </w:rPr>
        <w:t>Natural Gas Capacity Issues</w:t>
      </w:r>
    </w:p>
    <w:p>
      <w:pPr>
        <w:pStyle w:val="Normal"/>
        <w:keepNext w:val="tru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10" w:end="0"/>
        <w:jc w:val="both"/>
        <w:rPr/>
      </w:pPr>
      <w:r>
        <w:rPr/>
        <w:t>IEP supports the Commission’s efforts to foster development of additional interstate gas transmission capacity that will be required to meet the requirements of the new generation capacity that is needed to serve the demand of the Western Interconnection.  We note, however, that similar efforts will be required to develop matching intrastate transmission capacity to ensure that there is no stranding of gas capacity at the California border.</w:t>
      </w:r>
    </w:p>
    <w:p>
      <w:pPr>
        <w:pStyle w:val="Normal"/>
        <w:keepNext w:val="true"/>
        <w:numPr>
          <w:ilvl w:val="0"/>
          <w:numId w:val="2"/>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u w:val="single"/>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Dated:  March 30, 2001</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______________, ___________, this 30th day of March, 2001.</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/mnt/main-storage/datasets/enron-docs/doc/010330_EL01_47_000_DRAFT_IEP_Cmt1.doc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35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 March 27, 2001, the California Public Utilities Commission adopted a decision modifying the short-run avoided cost (“SRAC”) formula applicable to energy payments for many California QFs.  While certain patently illegal provisions, such as a  “cap” on SRAC, were removed from the earlier versions of the decision, the methodology adopted arguably does not properly reflect the utilities avoided cost associated with their “net short” position and could have the unintended consequence of reducing operations from some generation in Southern California.</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ATTORNEY-CLIENT COMMUNICATION</w:t>
    </w:r>
  </w:p>
  <w:p>
    <w:pPr>
      <w:pStyle w:val="Header"/>
      <w:rPr/>
    </w:pPr>
    <w:r>
      <w:rPr/>
      <w:t>March 27, 2001</w:t>
      <w:tab/>
      <w:t>DRAFT: DO NOT DISTRIBUTE OR CITE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upperRoman"/>
      <w:lvlText w:val="%1."/>
      <w:lvlJc w:val="start"/>
      <w:pPr>
        <w:tabs>
          <w:tab w:val="num" w:pos="720"/>
        </w:tabs>
        <w:ind w:start="720" w:hanging="720"/>
      </w:pPr>
      <w:rPr/>
    </w:lvl>
    <w:lvl w:ilvl="1">
      <w:start w:val="1"/>
      <w:numFmt w:val="upperLetter"/>
      <w:lvlText w:val="%2."/>
      <w:lvlJc w:val="start"/>
      <w:pPr>
        <w:tabs>
          <w:tab w:val="num" w:pos="2160"/>
        </w:tabs>
        <w:ind w:start="2160" w:hanging="1440"/>
      </w:pPr>
      <w:rPr/>
    </w:lvl>
    <w:lvl w:ilvl="2">
      <w:start w:val="1"/>
      <w:numFmt w:val="lowerRoman"/>
      <w:lvlText w:val="%3)"/>
      <w:lvlJc w:val="start"/>
      <w:pPr>
        <w:tabs>
          <w:tab w:val="num" w:pos="2340"/>
        </w:tabs>
        <w:ind w:start="2340" w:hanging="720"/>
      </w:pPr>
      <w:rPr>
        <w:i w:val="false"/>
      </w:r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9z2">
    <w:name w:val="WW8Num9z2"/>
    <w:qFormat/>
    <w:rPr>
      <w:i w:val="false"/>
    </w:rPr>
  </w:style>
  <w:style w:type="character" w:styleId="WW8Num10z0">
    <w:name w:val="WW8Num10z0"/>
    <w:qFormat/>
    <w:rPr/>
  </w:style>
  <w:style w:type="character" w:styleId="WW8Num11z0">
    <w:name w:val="WW8Num11z0"/>
    <w:qFormat/>
    <w:rPr>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Courier New" w:hAnsi="Courier;Courier New" w:eastAsia="Times New Roman" w:cs="Courier;Courier New"/>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tyle>
  <w:style w:type="paragraph" w:styleId="BodyTextIndent3">
    <w:name w:val="Body Text Indent 3"/>
    <w:basedOn w:val="Normal"/>
    <w:qFormat/>
    <w:pPr>
      <w:spacing w:lineRule="auto" w:line="480"/>
      <w:ind w:firstLine="71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2001-03-27T13:47:00Z</dcterms:created>
  <dc:creator>Andrew Brown</dc:creator>
  <dc:description/>
  <dc:language>en-CA</dc:language>
  <cp:lastModifiedBy>Andrew Brown</cp:lastModifiedBy>
  <cp:lastPrinted>2001-03-20T15:25:00Z</cp:lastPrinted>
  <dcterms:modified xsi:type="dcterms:W3CDTF">2001-03-27T16:55:00Z</dcterms:modified>
  <cp:revision>11</cp:revision>
  <dc:subject/>
  <dc:title>UNITED STATES OF AMERICA</dc:title>
</cp:coreProperties>
</file>