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490"/>
        <w:gridCol w:w="1355"/>
        <w:gridCol w:w="2965"/>
      </w:tblGrid>
      <w:tr>
        <w:trPr>
          <w:trHeight w:val="308" w:hRule="atLeas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To:</w:t>
            </w:r>
          </w:p>
        </w:tc>
        <w:tc>
          <w:tcPr>
            <w:tcW w:w="5490" w:type="dxa"/>
            <w:tcBorders/>
          </w:tcPr>
          <w:p>
            <w:pPr>
              <w:pStyle w:val="To"/>
              <w:rPr>
                <w:rFonts w:cs="Arial"/>
              </w:rPr>
            </w:pPr>
            <w:r>
              <w:rPr>
                <w:rFonts w:cs="Arial"/>
              </w:rPr>
              <w:t>Distribution</w:t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From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From:</w:t>
            </w:r>
          </w:p>
        </w:tc>
        <w:tc>
          <w:tcPr>
            <w:tcW w:w="5490" w:type="dxa"/>
            <w:tcBorders/>
          </w:tcPr>
          <w:p>
            <w:pPr>
              <w:pStyle w:val="From"/>
              <w:jc w:val="both"/>
              <w:rPr>
                <w:rFonts w:cs="Arial"/>
              </w:rPr>
            </w:pPr>
            <w:r>
              <w:rPr>
                <w:rFonts w:cs="Arial"/>
              </w:rPr>
              <w:t>Jeff Hodge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From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Subject:</w:t>
            </w:r>
          </w:p>
        </w:tc>
        <w:tc>
          <w:tcPr>
            <w:tcW w:w="5490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  <w:t>UBS Start-Up for Physical Gas Business</w:t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DATE \@"MMMM\ d', 'yyyy"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September 28, 2025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  <w:t>In follow-up to our meeting today, it seems like it would make sense for each of you to compile a list of questions you might expect to encounter in dealing with counterparties on start-up issues.  The concept would be to create a list of answers for those questions that will be consistent.</w:t>
      </w:r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  <w:t>To that end, could each of you forward me a list of questions?  I would expect these questions to cover a host of areas including legal, regulatory, credit and banking issues.</w:t>
      </w:r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  <w:t>I trust the foregoing meets your current needs.  Should you have any questions or comments, please contact me at your convenience.</w:t>
      </w:r>
    </w:p>
    <w:p>
      <w:pPr>
        <w:pStyle w:val="Body"/>
        <w:ind w:firstLine="720"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  <w:t>Distribution:</w:t>
        <w:tab/>
        <w:t>Hunter Shively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Scott Neal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Mike Grigsby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Phillip Allen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Stephanie Miller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Tom Martin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Robert Superty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Suzanne Calcagno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David Baumbach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James Steffes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Barry Tycholiz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Frank Vickers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  <w:t>cc:</w:t>
        <w:tab/>
        <w:tab/>
        <w:t>Angela Davis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Gerald Nemec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Mark Haedicke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Louise Kitchen</w:t>
      </w:r>
    </w:p>
    <w:p>
      <w:pPr>
        <w:pStyle w:val="Body"/>
        <w:ind w:start="1440" w:end="0"/>
        <w:jc w:val="both"/>
        <w:rPr>
          <w:sz w:val="22"/>
        </w:rPr>
      </w:pPr>
      <w:r>
        <w:rPr>
          <w:sz w:val="22"/>
        </w:rPr>
        <w:t>Mark Taylor</w:t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start="0" w:end="0"/>
        <w:jc w:val="both"/>
        <w:rPr>
          <w:sz w:val="22"/>
        </w:rPr>
      </w:pPr>
      <w:r>
        <w:rPr>
          <w:sz w:val="22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/mnt/main-storage/datasets/enron-docs/doc/01032_Distribution.doc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;Times New Roman" w:hAnsi="CG Times;Times New Roman" w:cs="CG Times;Times New Roman"/>
      <w:b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left" w:pos="720" w:leader="none"/>
      </w:tabs>
      <w:overflowPunct w:val="true"/>
      <w:autoSpaceDE w:val="true"/>
      <w:ind w:hanging="0" w:start="720" w:end="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2002-01-30T16:11:00Z</dcterms:created>
  <dc:creator>protmp3</dc:creator>
  <dc:description/>
  <dc:language>en-CA</dc:language>
  <cp:lastModifiedBy>jrozycki</cp:lastModifiedBy>
  <cp:lastPrinted>2002-01-30T12:47:00Z</cp:lastPrinted>
  <dcterms:modified xsi:type="dcterms:W3CDTF">2002-01-30T16:58:00Z</dcterms:modified>
  <cp:revision>4</cp:revision>
  <dc:subject/>
  <dc:title>Better, Faster, Simpler Memo </dc:title>
</cp:coreProperties>
</file>