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BEFORE THE PUBLIC UTILITIES COMMISSION OF THE STATE OF CALIFORNIA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szCs w:val="24"/>
        </w:rPr>
      </w:pPr>
      <w:r>
        <w:rPr>
          <w:sz w:val="24"/>
          <w:szCs w:val="24"/>
        </w:rPr>
      </w:r>
    </w:p>
    <w:tbl>
      <w:tblPr>
        <w:tblW w:w="9468" w:type="dxa"/>
        <w:jc w:val="start"/>
        <w:tblInd w:w="0" w:type="dxa"/>
        <w:tblLayout w:type="fixed"/>
        <w:tblCellMar>
          <w:top w:w="0" w:type="dxa"/>
          <w:start w:w="108" w:type="dxa"/>
          <w:bottom w:w="0" w:type="dxa"/>
          <w:end w:w="108" w:type="dxa"/>
        </w:tblCellMar>
      </w:tblPr>
      <w:tblGrid>
        <w:gridCol w:w="6048"/>
        <w:gridCol w:w="3420"/>
      </w:tblGrid>
      <w:tr>
        <w:trPr/>
        <w:tc>
          <w:tcPr>
            <w:tcW w:w="6048" w:type="dxa"/>
            <w:tcBorders>
              <w:bottom w:val="single" w:sz="4" w:space="0" w:color="000000"/>
              <w:end w:val="single" w:sz="4"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szCs w:val="24"/>
              </w:rPr>
            </w:pPr>
            <w:r>
              <w:rPr>
                <w:sz w:val="24"/>
                <w:szCs w:val="24"/>
              </w:rPr>
              <w:t>Application of Southern California Edison Company (E 3338-E) for Authority to Institute a Rate Stabilization Plan with a Rate Increase and End of Rate Freeze Tariffs.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szCs w:val="24"/>
              </w:rPr>
            </w:pPr>
            <w:r>
              <w:rPr>
                <w:sz w:val="24"/>
                <w:szCs w:val="24"/>
              </w:rPr>
            </w:r>
          </w:p>
        </w:tc>
        <w:tc>
          <w:tcPr>
            <w:tcW w:w="3420" w:type="dxa"/>
            <w:tcBorders>
              <w:start w:val="single" w:sz="4"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jc w:val="center"/>
              <w:rPr>
                <w:sz w:val="24"/>
                <w:szCs w:val="24"/>
              </w:rPr>
            </w:pPr>
            <w:r>
              <w:rPr>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szCs w:val="24"/>
              </w:rPr>
            </w:pPr>
            <w:r>
              <w:rPr>
                <w:sz w:val="24"/>
                <w:szCs w:val="24"/>
              </w:rPr>
              <w:t>Application 00-11-038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szCs w:val="24"/>
              </w:rPr>
            </w:pPr>
            <w:r>
              <w:rPr>
                <w:sz w:val="24"/>
                <w:szCs w:val="24"/>
              </w:rPr>
              <w:t>(Filed November 16, 2000)</w:t>
            </w:r>
          </w:p>
        </w:tc>
      </w:tr>
      <w:tr>
        <w:trPr/>
        <w:tc>
          <w:tcPr>
            <w:tcW w:w="6048" w:type="dxa"/>
            <w:tcBorders>
              <w:top w:val="single" w:sz="4" w:space="0" w:color="000000"/>
              <w:bottom w:val="single" w:sz="4" w:space="0" w:color="000000"/>
              <w:end w:val="single" w:sz="4"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sz w:val="24"/>
                <w:szCs w:val="24"/>
              </w:rPr>
            </w:pPr>
            <w:r>
              <w:rPr>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szCs w:val="24"/>
              </w:rPr>
            </w:pPr>
            <w:r>
              <w:rPr>
                <w:sz w:val="24"/>
                <w:szCs w:val="24"/>
              </w:rPr>
              <w:t>Emergency Application of Pacific Gas and Electric Company to Adopt a Rate Stabilization Plan.  (U 39 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szCs w:val="24"/>
              </w:rPr>
            </w:pPr>
            <w:r>
              <w:rPr>
                <w:sz w:val="24"/>
                <w:szCs w:val="24"/>
              </w:rPr>
            </w:r>
          </w:p>
        </w:tc>
        <w:tc>
          <w:tcPr>
            <w:tcW w:w="3420" w:type="dxa"/>
            <w:tcBorders>
              <w:start w:val="single" w:sz="4"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jc w:val="center"/>
              <w:rPr>
                <w:sz w:val="24"/>
                <w:szCs w:val="24"/>
              </w:rPr>
            </w:pPr>
            <w:r>
              <w:rPr>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szCs w:val="24"/>
              </w:rPr>
            </w:pPr>
            <w:r>
              <w:rPr>
                <w:sz w:val="24"/>
                <w:szCs w:val="24"/>
              </w:rPr>
              <w:t>Application 00-11-056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szCs w:val="24"/>
              </w:rPr>
            </w:pPr>
            <w:r>
              <w:rPr>
                <w:sz w:val="24"/>
                <w:szCs w:val="24"/>
              </w:rPr>
              <w:t>(Filed November 22, 2000)</w:t>
            </w:r>
          </w:p>
        </w:tc>
      </w:tr>
      <w:tr>
        <w:trPr/>
        <w:tc>
          <w:tcPr>
            <w:tcW w:w="6048" w:type="dxa"/>
            <w:tcBorders>
              <w:top w:val="single" w:sz="4" w:space="0" w:color="000000"/>
              <w:bottom w:val="single" w:sz="4" w:space="0" w:color="000000"/>
              <w:end w:val="single" w:sz="4"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rPr>
                <w:sz w:val="24"/>
                <w:szCs w:val="24"/>
              </w:rPr>
            </w:pPr>
            <w:r>
              <w:rPr>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szCs w:val="24"/>
              </w:rPr>
            </w:pPr>
            <w:r>
              <w:rPr>
                <w:sz w:val="24"/>
                <w:szCs w:val="24"/>
              </w:rPr>
              <w:t>Petition of THE UTILITY REFORM NETWORK for Modification of Resolution E-3527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szCs w:val="24"/>
              </w:rPr>
            </w:pPr>
            <w:r>
              <w:rPr>
                <w:sz w:val="24"/>
                <w:szCs w:val="24"/>
              </w:rPr>
            </w:r>
          </w:p>
        </w:tc>
        <w:tc>
          <w:tcPr>
            <w:tcW w:w="3420" w:type="dxa"/>
            <w:tcBorders>
              <w:start w:val="single" w:sz="4" w:space="0" w:color="000000"/>
            </w:tcBorders>
          </w:tcPr>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napToGrid w:val="false"/>
              <w:jc w:val="center"/>
              <w:rPr>
                <w:sz w:val="24"/>
                <w:szCs w:val="24"/>
              </w:rPr>
            </w:pPr>
            <w:r>
              <w:rPr>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szCs w:val="24"/>
              </w:rPr>
            </w:pPr>
            <w:r>
              <w:rPr>
                <w:sz w:val="24"/>
                <w:szCs w:val="24"/>
              </w:rPr>
              <w:t>Application 00-10-028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szCs w:val="24"/>
              </w:rPr>
            </w:pPr>
            <w:r>
              <w:rPr>
                <w:sz w:val="24"/>
                <w:szCs w:val="24"/>
              </w:rPr>
              <w:t>(Filed October 17, 2000)</w:t>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szCs w:val="24"/>
        </w:rPr>
      </w:pPr>
      <w:r>
        <w:rPr>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szCs w:val="24"/>
        </w:rPr>
      </w:pPr>
      <w:r>
        <w:rPr>
          <w:sz w:val="24"/>
          <w:szCs w:val="24"/>
        </w:rPr>
      </w:r>
    </w:p>
    <w:p>
      <w:pPr>
        <w:pStyle w:val="Heading1"/>
        <w:ind w:hanging="0" w:start="0"/>
        <w:rPr/>
      </w:pPr>
      <w:r>
        <w:rPr/>
        <w:t xml:space="preserve">PRELIMINARY COMMENTS OF THE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bCs/>
          <w:sz w:val="24"/>
          <w:szCs w:val="24"/>
        </w:rPr>
      </w:pPr>
      <w:r>
        <w:rPr>
          <w:b/>
          <w:bCs/>
          <w:sz w:val="24"/>
          <w:szCs w:val="24"/>
        </w:rPr>
        <w:t>INDEPENDENT ENERGY PRODUCERS ASSOCIATION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bCs/>
          <w:sz w:val="24"/>
          <w:szCs w:val="24"/>
        </w:rPr>
      </w:pPr>
      <w:r>
        <w:rPr>
          <w:b/>
          <w:bCs/>
          <w:sz w:val="24"/>
          <w:szCs w:val="24"/>
        </w:rPr>
        <w:t>TO THE DRAFT DECISION OF ALJ DEULLOA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sz w:val="24"/>
          <w:szCs w:val="24"/>
        </w:rPr>
      </w:pPr>
      <w:r>
        <w:rPr>
          <w:b/>
          <w:bCs/>
          <w:sz w:val="24"/>
          <w:szCs w:val="24"/>
        </w:rPr>
        <w:t>REGARDING INTERIM IMPLEMENTATION OF ABX-1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z w:val="24"/>
          <w:szCs w:val="24"/>
        </w:rPr>
      </w:pPr>
      <w:r>
        <w:rPr>
          <w:sz w:val="24"/>
          <w:szCs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firstLine="720" w:end="0"/>
        <w:rPr>
          <w:sz w:val="24"/>
          <w:szCs w:val="24"/>
        </w:rPr>
      </w:pPr>
      <w:r>
        <w:rPr>
          <w:sz w:val="24"/>
          <w:szCs w:val="24"/>
        </w:rPr>
        <w:t>Pursuant to the 24-hour comment period provided in the Draft Decision of ALJ DeUlloa regarding interim implementation of ABX-1, the Independent Energy Producers Association (“IEP”) respectfully submits these comments.  Pursuant to Ordering Paragraph 1 soliciting comments in 30-days, and in view of the patent procedural inadequacy of a 24-hour period within which the Draft Decision invites comment, IEP is making these comments as a preliminary matter.</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firstLine="720" w:end="0"/>
        <w:rPr>
          <w:sz w:val="24"/>
          <w:szCs w:val="24"/>
          <w:u w:val="single"/>
        </w:rPr>
      </w:pPr>
      <w:r>
        <w:rPr>
          <w:sz w:val="24"/>
          <w:szCs w:val="24"/>
        </w:rPr>
        <w:t>On its face the interim methodology proposed in the Draft Decision is not consistent with the requirements of Public Utilities Code Section 360.5.</w:t>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firstLine="720" w:end="0"/>
        <w:rPr>
          <w:sz w:val="24"/>
          <w:szCs w:val="24"/>
        </w:rPr>
      </w:pPr>
      <w:r>
        <w:rPr>
          <w:sz w:val="24"/>
          <w:szCs w:val="24"/>
        </w:rPr>
        <w:t xml:space="preserve">Section 360.5 provides as follows:  </w:t>
      </w:r>
    </w:p>
    <w:p>
      <w:pPr>
        <w:pStyle w:val="Normal"/>
        <w:widowControl/>
        <w:tabs>
          <w:tab w:val="clear" w:pos="720"/>
          <w:tab w:val="left" w:pos="-709" w:leader="none"/>
          <w:tab w:val="left" w:pos="10" w:leader="none"/>
          <w:tab w:val="left" w:pos="730" w:leader="none"/>
          <w:tab w:val="left" w:pos="1450" w:leader="none"/>
          <w:tab w:val="left" w:pos="2170" w:leader="none"/>
          <w:tab w:val="left" w:pos="2890" w:leader="none"/>
          <w:tab w:val="left" w:pos="3610" w:leader="none"/>
          <w:tab w:val="left" w:pos="4330" w:leader="none"/>
          <w:tab w:val="left" w:pos="5050" w:leader="none"/>
          <w:tab w:val="left" w:pos="5770" w:leader="none"/>
          <w:tab w:val="left" w:pos="6490" w:leader="none"/>
          <w:tab w:val="left" w:pos="7210" w:leader="none"/>
          <w:tab w:val="left" w:pos="7930" w:leader="none"/>
        </w:tabs>
        <w:ind w:firstLine="720" w:start="709" w:end="1407"/>
        <w:rPr>
          <w:sz w:val="24"/>
          <w:szCs w:val="24"/>
        </w:rPr>
      </w:pPr>
      <w:r>
        <w:rPr>
          <w:sz w:val="24"/>
          <w:szCs w:val="24"/>
        </w:rPr>
      </w:r>
    </w:p>
    <w:p>
      <w:pPr>
        <w:pStyle w:val="Normal"/>
        <w:widowControl/>
        <w:tabs>
          <w:tab w:val="clear" w:pos="720"/>
          <w:tab w:val="left" w:pos="-709" w:leader="none"/>
          <w:tab w:val="left" w:pos="10" w:leader="none"/>
          <w:tab w:val="left" w:pos="730" w:leader="none"/>
          <w:tab w:val="left" w:pos="1450" w:leader="none"/>
          <w:tab w:val="left" w:pos="2170" w:leader="none"/>
          <w:tab w:val="left" w:pos="2890" w:leader="none"/>
          <w:tab w:val="left" w:pos="3610" w:leader="none"/>
          <w:tab w:val="left" w:pos="4330" w:leader="none"/>
          <w:tab w:val="left" w:pos="5050" w:leader="none"/>
          <w:tab w:val="left" w:pos="5770" w:leader="none"/>
          <w:tab w:val="left" w:pos="6490" w:leader="none"/>
          <w:tab w:val="left" w:pos="7210" w:leader="none"/>
          <w:tab w:val="left" w:pos="7930" w:leader="none"/>
        </w:tabs>
        <w:ind w:firstLine="720" w:start="709" w:end="1407"/>
        <w:rPr>
          <w:sz w:val="24"/>
          <w:szCs w:val="24"/>
        </w:rPr>
      </w:pPr>
      <w:r>
        <w:rPr>
          <w:sz w:val="24"/>
          <w:szCs w:val="24"/>
        </w:rPr>
        <w:t>360.5. The commission shall determine that portion of each existing electrical corporation’s retail rate effective on January 5, 2001, that is equal to the difference between the generation related component of the retail rate and the sum of the costs of the utility’s own generation, qualifying facility contracts, existing bilateral contracts, and ancillary services. That portion of the retail rate shall be known as the California Procurement Adjustment. The commission shall further determine the amount of the California Procurement Adjustment that is allocable to the power sold by the department. That amount shall be payable, by each electrical corporation, upon receipt by the electrical corporation of the revenues from its retail end use customers, to the department for deposit in the Department of Water Resources Electric Power Fund, established by Section 80200 of the Water Code. The amount determined pursuant to this subdivision shall be known as the Fixed Department of Water Resources Set-Aside.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firstLine="720" w:end="-12"/>
        <w:rPr>
          <w:sz w:val="24"/>
          <w:szCs w:val="24"/>
        </w:rPr>
      </w:pPr>
      <w:r>
        <w:rPr>
          <w:sz w:val="24"/>
          <w:szCs w:val="24"/>
        </w:rPr>
        <w:t xml:space="preserve">A proper implementation of this provision determines the current generation component of rates and first pays out utility-related costs (including prior existing bilateral contracts, Qualifying Facility contracts, retained generation costs and ancillary services) leaving the remainder as the California Procurement Adjustment (“CPA”).  It is the allocation of this residual CPA that is the proper charge of the Commission.  It is not the charge of this Commission to redefine the CPA as a value that is gross of the utility’s retained obligations and then allocate across volumes, as the Draft Decision proposes to do.  While the department is assured by Water Code Section 80110 of the right to establish its own revenue requirement for generation that is to be recovered from retail rates (provided however that residential customers are provided a 30% increase of baseline quantities at the current rate) that right is not made at the expense of the utility recovery of its costs.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firstLine="720" w:end="-12"/>
        <w:rPr>
          <w:sz w:val="24"/>
          <w:szCs w:val="24"/>
        </w:rPr>
      </w:pPr>
      <w:r>
        <w:rPr>
          <w:sz w:val="24"/>
          <w:szCs w:val="24"/>
        </w:rPr>
        <w:t>The Draft Decision’s proposal allocates revenues according to the percentage of total power requirements by utility provided by either the utility or the department, without regard to the requisite, prior determination of the CPA.  This ratio neither comports with the requirements of Section 360.5 nor does it provide any assurance that the utilities will recover costs associated with their provision of power or, ironically, that the department will recover its costs.  In addition to its substantive flaws, the Draft Decision will almost certainly exacerbate the tenuous financial condition of the public utilities and of the QF projects (now themselves in desperate straits and having been unpaid for months) upon which the utilities and retail customers rely for almost one third of power requirements.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firstLine="720" w:end="-12"/>
        <w:rPr>
          <w:sz w:val="24"/>
          <w:szCs w:val="24"/>
        </w:rPr>
      </w:pPr>
      <w:r>
        <w:rPr>
          <w:sz w:val="24"/>
          <w:szCs w:val="24"/>
        </w:rPr>
        <w:t>The Draft Decision is quick and empathic in pointing out the department’s obligation to determine and present a proper, reviewable revenue requirement for the Commission to consider and deal with in the proper course.  Draft Decision at 5.   IEP suggests the Commission insist on development of such an established revenue stream prior to finalization of the department’s own revenue requirements and collection scheme.  A interim approach more consistent with the statutory scheme (and less catastrophic to electric reliability and utility solvency) than that proposed in the Draft Decision would be to provide for and pay when due the revenues required by utility retained generation (bilateral contracts, QFs, retained generation assets and ancillary services) and provide the remaining “headroom” to the department as the CPA.  Any underrecoveries by DWR would be rolled into the revenue requirement the department is to establish, and would be collected on a going forward basis once the department determines that requirement.  This approach, which as stated IEP thinks is laid out in the statute, would further the goals of the legislation to end the utility “bleeding” for the costs of retained generation due to the rate freeze, and provide a revenue stream to the department now.</w:t>
      </w:r>
    </w:p>
    <w:p>
      <w:pPr>
        <w:pStyle w:val="Normal"/>
        <w:widowControl/>
        <w:spacing w:lineRule="atLeast" w:line="480"/>
        <w:ind w:start="4860" w:end="0"/>
        <w:rPr>
          <w:sz w:val="24"/>
        </w:rPr>
      </w:pPr>
      <w:r>
        <w:rPr>
          <w:sz w:val="24"/>
        </w:rPr>
        <w:t>Respectfully submitted,</w:t>
      </w:r>
    </w:p>
    <w:p>
      <w:pPr>
        <w:pStyle w:val="Normal"/>
        <w:widowControl/>
        <w:spacing w:lineRule="atLeast" w:line="480"/>
        <w:ind w:start="4860" w:end="0"/>
        <w:rPr>
          <w:sz w:val="24"/>
        </w:rPr>
      </w:pPr>
      <w:r>
        <w:rPr>
          <w:sz w:val="24"/>
        </w:rPr>
      </w:r>
    </w:p>
    <w:p>
      <w:pPr>
        <w:pStyle w:val="Normal"/>
        <w:widowControl/>
        <w:ind w:start="4860" w:end="0"/>
        <w:rPr>
          <w:sz w:val="24"/>
        </w:rPr>
      </w:pPr>
      <w:r>
        <w:rPr>
          <w:sz w:val="24"/>
        </w:rPr>
        <w:t xml:space="preserve">____________________________ </w:t>
      </w:r>
    </w:p>
    <w:p>
      <w:pPr>
        <w:pStyle w:val="Normal"/>
        <w:widowControl/>
        <w:ind w:start="4860" w:end="0"/>
        <w:rPr>
          <w:sz w:val="24"/>
        </w:rPr>
      </w:pPr>
      <w:r>
        <w:rPr>
          <w:sz w:val="24"/>
        </w:rPr>
        <w:t>Douglas K. Kerner</w:t>
      </w:r>
    </w:p>
    <w:p>
      <w:pPr>
        <w:pStyle w:val="Normal"/>
        <w:widowControl/>
        <w:ind w:start="4860" w:end="0"/>
        <w:rPr>
          <w:sz w:val="24"/>
        </w:rPr>
      </w:pPr>
      <w:r>
        <w:rPr>
          <w:sz w:val="24"/>
        </w:rPr>
      </w:r>
    </w:p>
    <w:p>
      <w:pPr>
        <w:pStyle w:val="Normal"/>
        <w:ind w:start="4860" w:end="0"/>
        <w:rPr>
          <w:sz w:val="24"/>
        </w:rPr>
      </w:pPr>
      <w:r>
        <w:rPr>
          <w:sz w:val="24"/>
        </w:rPr>
        <w:t>Douglas K. Kerner, Of Counsel</w:t>
      </w:r>
    </w:p>
    <w:p>
      <w:pPr>
        <w:pStyle w:val="Normal"/>
        <w:ind w:start="4860" w:end="0"/>
        <w:rPr>
          <w:sz w:val="24"/>
        </w:rPr>
      </w:pPr>
      <w:r>
        <w:rPr>
          <w:sz w:val="24"/>
        </w:rPr>
        <w:t>Andrew B. Brown, Associate</w:t>
      </w:r>
    </w:p>
    <w:p>
      <w:pPr>
        <w:pStyle w:val="Normal"/>
        <w:ind w:start="4860" w:end="0"/>
        <w:rPr>
          <w:sz w:val="24"/>
        </w:rPr>
      </w:pPr>
      <w:r>
        <w:rPr>
          <w:sz w:val="24"/>
        </w:rPr>
        <w:t>Ellison, Schneider &amp; Harris L.L.P.</w:t>
      </w:r>
    </w:p>
    <w:p>
      <w:pPr>
        <w:pStyle w:val="Normal"/>
        <w:ind w:start="4860" w:end="0"/>
        <w:rPr>
          <w:sz w:val="24"/>
        </w:rPr>
      </w:pPr>
      <w:r>
        <w:rPr>
          <w:sz w:val="24"/>
        </w:rPr>
        <w:t>2015 H Street</w:t>
      </w:r>
    </w:p>
    <w:p>
      <w:pPr>
        <w:pStyle w:val="Normal"/>
        <w:ind w:start="4860" w:end="0"/>
        <w:rPr>
          <w:sz w:val="24"/>
        </w:rPr>
      </w:pPr>
      <w:r>
        <w:rPr>
          <w:sz w:val="24"/>
        </w:rPr>
        <w:t>Sacramento, California 95814</w:t>
      </w:r>
    </w:p>
    <w:p>
      <w:pPr>
        <w:pStyle w:val="Normal"/>
        <w:ind w:start="4860" w:end="0"/>
        <w:rPr>
          <w:sz w:val="24"/>
        </w:rPr>
      </w:pPr>
      <w:r>
        <w:rPr>
          <w:sz w:val="24"/>
        </w:rPr>
        <w:t>Tel:</w:t>
        <w:tab/>
        <w:t>(916) 447-2166</w:t>
      </w:r>
    </w:p>
    <w:p>
      <w:pPr>
        <w:pStyle w:val="Normal"/>
        <w:ind w:start="4860" w:end="0"/>
        <w:rPr>
          <w:sz w:val="24"/>
        </w:rPr>
      </w:pPr>
      <w:r>
        <w:rPr>
          <w:sz w:val="24"/>
        </w:rPr>
        <w:t>Fax:</w:t>
        <w:tab/>
        <w:t>(916) 447-3512</w:t>
      </w:r>
    </w:p>
    <w:p>
      <w:pPr>
        <w:pStyle w:val="Normal"/>
        <w:ind w:start="4860" w:end="0"/>
        <w:rPr>
          <w:sz w:val="24"/>
        </w:rPr>
      </w:pPr>
      <w:r>
        <w:rPr>
          <w:sz w:val="24"/>
        </w:rPr>
        <w:t>Email:</w:t>
        <w:tab/>
      </w:r>
      <w:hyperlink r:id="rId2">
        <w:r>
          <w:rPr>
            <w:rStyle w:val="Hyperlink"/>
            <w:sz w:val="24"/>
          </w:rPr>
          <w:t>abb@eslawfirm.com</w:t>
        </w:r>
      </w:hyperlink>
    </w:p>
    <w:p>
      <w:pPr>
        <w:pStyle w:val="Normal"/>
        <w:ind w:start="4860" w:end="0"/>
        <w:rPr>
          <w:sz w:val="24"/>
        </w:rPr>
      </w:pPr>
      <w:r>
        <w:rPr>
          <w:sz w:val="24"/>
        </w:rPr>
      </w:r>
    </w:p>
    <w:p>
      <w:pPr>
        <w:pStyle w:val="Normal"/>
        <w:widowControl/>
        <w:ind w:start="4860" w:end="0"/>
        <w:rPr>
          <w:sz w:val="24"/>
        </w:rPr>
      </w:pPr>
      <w:r>
        <w:rPr>
          <w:sz w:val="24"/>
        </w:rPr>
        <w:t>Attorneys for Independent Energy Producers Association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firstLine="720" w:end="-12"/>
        <w:rPr>
          <w:sz w:val="24"/>
        </w:rPr>
      </w:pPr>
      <w:r>
        <w:rPr>
          <w:sz w:val="24"/>
        </w:rPr>
      </w:r>
    </w:p>
    <w:sectPr>
      <w:footerReference w:type="default" r:id="rId3"/>
      <w:footerReference w:type="first" r:id="rId4"/>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outlineLvl w:val="0"/>
    </w:pPr>
    <w:rPr>
      <w:b/>
      <w:bCs/>
      <w:sz w:val="24"/>
      <w:szCs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widowControl/>
      <w:jc w:val="center"/>
    </w:pPr>
    <w:rPr>
      <w:b/>
      <w:bCs/>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ricj@eslawfirm.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2001-02-21T19:06:00Z</dcterms:created>
  <dc:creator>EricJ</dc:creator>
  <dc:description/>
  <dc:language>en-CA</dc:language>
  <cp:lastModifiedBy>EricJ</cp:lastModifiedBy>
  <cp:lastPrinted>2001-02-21T15:26:00Z</cp:lastPrinted>
  <dcterms:modified xsi:type="dcterms:W3CDTF">2001-02-21T19:06:00Z</dcterms:modified>
  <cp:revision>2</cp:revision>
  <dc:subject/>
  <dc:title>Before the Public Utilities Commission of the State of California</dc:title>
</cp:coreProperties>
</file>