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pPr>
      <w:r>
        <w:fldChar w:fldCharType="begin"/>
      </w:r>
      <w:r>
        <w:rPr/>
        <w:instrText xml:space="preserve">ADVANCE \y 144</w:instrText>
      </w:r>
      <w:r>
        <w:rPr/>
      </w:r>
      <w:r>
        <w:rPr/>
        <w:fldChar w:fldCharType="separate"/>
      </w:r>
      <w:r>
        <w:rPr/>
      </w:r>
      <w:r>
        <w:rPr/>
      </w:r>
      <w:r>
        <w:rPr/>
        <w:fldChar w:fldCharType="end"/>
      </w:r>
      <w:r>
        <w:rPr>
          <w:b/>
        </w:rPr>
        <w:t>CONFIDENTIAL AND PRIVILEGED ATTORNEY-CLIENT COMMUNICATION</w:t>
      </w:r>
    </w:p>
    <w:p>
      <w:pPr>
        <w:pStyle w:val="Normal"/>
        <w:rPr/>
      </w:pPr>
      <w:r>
        <w:rPr/>
      </w:r>
    </w:p>
    <w:p>
      <w:pPr>
        <w:pStyle w:val="Normal"/>
        <w:jc w:val="center"/>
        <w:rPr>
          <w:spacing w:val="40"/>
        </w:rPr>
      </w:pPr>
      <w:r>
        <w:rPr>
          <w:b/>
          <w:smallCaps/>
          <w:spacing w:val="40"/>
          <w:sz w:val="40"/>
        </w:rPr>
        <w:t>Memorandum</w:t>
      </w:r>
    </w:p>
    <w:p>
      <w:pPr>
        <w:pStyle w:val="Normal"/>
        <w:rPr>
          <w:spacing w:val="40"/>
        </w:rPr>
      </w:pPr>
      <w:r>
        <w:rPr>
          <w:spacing w:val="40"/>
        </w:rPr>
      </w:r>
    </w:p>
    <w:p>
      <w:pPr>
        <w:pStyle w:val="Normal"/>
        <w:tabs>
          <w:tab w:val="left" w:pos="720" w:leader="none"/>
          <w:tab w:val="left" w:pos="1440" w:leader="none"/>
        </w:tabs>
        <w:ind w:hanging="1440" w:start="1440" w:end="0"/>
        <w:rPr/>
      </w:pPr>
      <w:r>
        <w:rPr/>
        <w:t>TO:</w:t>
        <w:tab/>
        <w:tab/>
        <w:t>Jan Smutny-Jones</w:t>
      </w:r>
    </w:p>
    <w:p>
      <w:pPr>
        <w:pStyle w:val="Normal"/>
        <w:tabs>
          <w:tab w:val="left" w:pos="720" w:leader="none"/>
          <w:tab w:val="left" w:pos="1440" w:leader="none"/>
        </w:tabs>
        <w:ind w:hanging="1440" w:start="1440" w:end="0"/>
        <w:rPr/>
      </w:pPr>
      <w:r>
        <w:rPr/>
        <w:tab/>
        <w:t>cc:</w:t>
        <w:tab/>
        <w:t>Steven Kelly</w:t>
      </w:r>
    </w:p>
    <w:p>
      <w:pPr>
        <w:pStyle w:val="Normal"/>
        <w:tabs>
          <w:tab w:val="left" w:pos="720" w:leader="none"/>
          <w:tab w:val="left" w:pos="1440" w:leader="none"/>
        </w:tabs>
        <w:ind w:hanging="1440" w:start="1440" w:end="0"/>
        <w:rPr/>
      </w:pPr>
      <w:r>
        <w:rPr/>
        <w:tab/>
        <w:tab/>
        <w:t>Katie Kaplan</w:t>
      </w:r>
    </w:p>
    <w:p>
      <w:pPr>
        <w:pStyle w:val="Normal"/>
        <w:tabs>
          <w:tab w:val="left" w:pos="720" w:leader="none"/>
          <w:tab w:val="left" w:pos="1440" w:leader="none"/>
        </w:tabs>
        <w:ind w:hanging="1440" w:start="1440" w:end="0"/>
        <w:rPr/>
      </w:pPr>
      <w:r>
        <w:rPr/>
        <w:tab/>
        <w:tab/>
        <w:t>Julee Malinowsky-Ball</w:t>
      </w:r>
    </w:p>
    <w:p>
      <w:pPr>
        <w:pStyle w:val="Normal"/>
        <w:tabs>
          <w:tab w:val="left" w:pos="720" w:leader="none"/>
          <w:tab w:val="left" w:pos="1440" w:leader="none"/>
        </w:tabs>
        <w:ind w:hanging="1440" w:start="1440" w:end="0"/>
        <w:rPr/>
      </w:pPr>
      <w:r>
        <w:rPr/>
        <w:tab/>
        <w:tab/>
        <w:t>Doug Kerner</w:t>
      </w:r>
    </w:p>
    <w:p>
      <w:pPr>
        <w:pStyle w:val="Normal"/>
        <w:tabs>
          <w:tab w:val="left" w:pos="720" w:leader="none"/>
          <w:tab w:val="left" w:pos="1440" w:leader="none"/>
        </w:tabs>
        <w:ind w:hanging="1440" w:start="1440" w:end="0"/>
        <w:rPr/>
      </w:pPr>
      <w:r>
        <w:rPr/>
        <w:tab/>
        <w:tab/>
        <w:t>Chris Ellison</w:t>
        <w:tab/>
      </w:r>
    </w:p>
    <w:p>
      <w:pPr>
        <w:pStyle w:val="Normal"/>
        <w:rPr/>
      </w:pPr>
      <w:r>
        <w:rPr/>
      </w:r>
    </w:p>
    <w:p>
      <w:pPr>
        <w:pStyle w:val="Normal"/>
        <w:tabs>
          <w:tab w:val="left" w:pos="720" w:leader="none"/>
          <w:tab w:val="left" w:pos="1440" w:leader="none"/>
        </w:tabs>
        <w:ind w:hanging="1440" w:start="1440" w:end="0"/>
        <w:rPr/>
      </w:pPr>
      <w:r>
        <w:rPr/>
        <w:t>FROM:</w:t>
        <w:tab/>
        <w:t>Andrew Brown</w:t>
      </w:r>
    </w:p>
    <w:p>
      <w:pPr>
        <w:pStyle w:val="Normal"/>
        <w:rPr/>
      </w:pPr>
      <w:r>
        <w:rPr/>
      </w:r>
    </w:p>
    <w:p>
      <w:pPr>
        <w:pStyle w:val="Normal"/>
        <w:tabs>
          <w:tab w:val="left" w:pos="720" w:leader="none"/>
          <w:tab w:val="left" w:pos="1440" w:leader="none"/>
        </w:tabs>
        <w:ind w:hanging="1440" w:start="1440" w:end="0"/>
        <w:rPr/>
      </w:pPr>
      <w:r>
        <w:rPr/>
        <w:t>RE:</w:t>
        <w:tab/>
        <w:tab/>
        <w:t>Governor’s Executive Orders Dated February 8, 2001</w:t>
      </w:r>
    </w:p>
    <w:p>
      <w:pPr>
        <w:pStyle w:val="Normal"/>
        <w:rPr/>
      </w:pPr>
      <w:r>
        <w:rPr/>
      </w:r>
    </w:p>
    <w:p>
      <w:pPr>
        <w:pStyle w:val="Normal"/>
        <w:rPr/>
      </w:pPr>
      <w:r>
        <w:rPr/>
        <w:t>DATE:</w:t>
        <w:tab/>
        <w:tab/>
        <w:t>February 9, 2001</w: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
                <wp:simplePos x="0" y="0"/>
                <wp:positionH relativeFrom="column">
                  <wp:posOffset>-2540</wp:posOffset>
                </wp:positionH>
                <wp:positionV relativeFrom="paragraph">
                  <wp:posOffset>81280</wp:posOffset>
                </wp:positionV>
                <wp:extent cx="5394960" cy="0"/>
                <wp:effectExtent l="0" t="5080" r="0" b="5080"/>
                <wp:wrapNone/>
                <wp:docPr id="1" name=""/>
                <a:graphic xmlns:a="http://schemas.openxmlformats.org/drawingml/2006/main">
                  <a:graphicData uri="http://schemas.microsoft.com/office/word/2010/wordprocessingShape">
                    <wps:wsp>
                      <wps:cNvSpPr/>
                      <wps:spPr>
                        <a:xfrm>
                          <a:off x="0" y="0"/>
                          <a:ext cx="5394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2pt,6.4pt" to="424.55pt,6.4pt" stroked="t" o:allowincell="f" style="position:absolute">
                <v:stroke color="black" weight="9360" joinstyle="miter" endcap="flat"/>
                <v:fill o:detectmouseclick="t" on="false"/>
                <w10:wrap type="none"/>
              </v:line>
            </w:pict>
          </mc:Fallback>
        </mc:AlternateContent>
      </w:r>
    </w:p>
    <w:p>
      <w:pPr>
        <w:pStyle w:val="BodyTextIndent"/>
        <w:jc w:val="start"/>
        <w:rPr/>
      </w:pPr>
      <w:r>
        <w:rPr/>
      </w:r>
    </w:p>
    <w:p>
      <w:pPr>
        <w:pStyle w:val="Normal"/>
        <w:rPr/>
      </w:pPr>
      <w:r>
        <w:rPr/>
        <w:tab/>
        <w:t>This memorandum provides a brief overview of six Executive Orders (“EOs”) issued by Governor Davis on February 8, 2001.  These materials were presented to IEP by an earlier transmittal from Edson + Modisette and are also available from the Governor’s website (www.governor.ca.gov).  Ellison, Schneider &amp; Harris provides this short analysis because the EOs will be of significant interest to the IEP membership.  Taken as a package, these EOs should help streamline the permitting of new capacity as well as mitigate the impact of air regulations on the operation of existing facilities.</w:t>
      </w:r>
    </w:p>
    <w:p>
      <w:pPr>
        <w:pStyle w:val="Normal"/>
        <w:rPr/>
      </w:pPr>
      <w:r>
        <w:rPr/>
      </w:r>
    </w:p>
    <w:p>
      <w:pPr>
        <w:pStyle w:val="Heading1"/>
        <w:ind w:hanging="0" w:start="0"/>
        <w:rPr>
          <w:b/>
          <w:bCs/>
        </w:rPr>
      </w:pPr>
      <w:r>
        <w:rPr>
          <w:b/>
          <w:bCs/>
        </w:rPr>
        <w:t xml:space="preserve">Executive Order D-22-01: Emergency Energy Supply </w:t>
      </w:r>
    </w:p>
    <w:p>
      <w:pPr>
        <w:pStyle w:val="Normal"/>
        <w:rPr>
          <w:b/>
          <w:bCs/>
        </w:rPr>
      </w:pPr>
      <w:r>
        <w:rPr>
          <w:b/>
          <w:bCs/>
        </w:rPr>
      </w:r>
    </w:p>
    <w:p>
      <w:pPr>
        <w:pStyle w:val="Normal"/>
        <w:rPr/>
      </w:pPr>
      <w:r>
        <w:rPr/>
        <w:tab/>
        <w:t xml:space="preserve">Emergency Order 22 addresses capacity increases from existing facilities and expedited licensing of new projects through the following actions: (1) “exempts” from CEC jurisdiction a generation increase of less than 50 of MW generation above “authorized levels” from existing installed capacity during the period of June 1, 2001 through October 1, 2001; (2) orders the CEC to expedite “to the extent feasible” AFCs for repowers, including a shortening of the review period; (3) orders all local, regional and state agencies involved in plant licensing of </w:t>
      </w:r>
      <w:r>
        <w:rPr>
          <w:i/>
          <w:iCs/>
        </w:rPr>
        <w:t>proposed</w:t>
      </w:r>
      <w:r>
        <w:rPr/>
        <w:t xml:space="preserve"> projects to “work cooperatively and expeditiously” with the CEC; (4) orders State Water Resources Control Board to “take all necessary and immediate action to ensure” that thermal discharge limits do not preclude plant operations; (6) allows CEC and SWRCB to get services outside ordinary state contracting processes; (7) allows DWR to contract for power “from powerplants using renewable and other resources that may currently have no other market for their power”; and (8) establishes a sunset date of December 31, 2001.</w:t>
      </w:r>
    </w:p>
    <w:p>
      <w:pPr>
        <w:pStyle w:val="Normal"/>
        <w:rPr/>
      </w:pPr>
      <w:r>
        <w:rPr/>
      </w:r>
    </w:p>
    <w:p>
      <w:pPr>
        <w:pStyle w:val="Normal"/>
        <w:rPr/>
      </w:pPr>
      <w:r>
        <w:rPr>
          <w:b/>
          <w:bCs/>
          <w:i/>
          <w:iCs/>
        </w:rPr>
        <w:t>Analysis:</w:t>
      </w:r>
      <w:r>
        <w:rPr>
          <w:i/>
          <w:iCs/>
        </w:rPr>
        <w:t xml:space="preserve"> </w:t>
      </w:r>
      <w:r>
        <w:rPr/>
        <w:t xml:space="preserve"> This EO gives the appearance of expediting new and repowered projects before the CEC by calling for a shortening of the CEC process and greater cooperation between various commenting agencies, although it fails to suspend operation of environmental laws.  To the extent the CEC shortens the adversarial process currently used, this could be a helpful step, assuming the end result is robust enough to withstand any CEQA challenge.  The EO authorizes generation above CEC license capacities (although presumably physical interconnection limitations would still apply), which could occur by driving the units past the nameplate ratings.  </w:t>
      </w:r>
    </w:p>
    <w:p>
      <w:pPr>
        <w:pStyle w:val="Normal"/>
        <w:rPr/>
      </w:pPr>
      <w:r>
        <w:rPr/>
      </w:r>
    </w:p>
    <w:p>
      <w:pPr>
        <w:pStyle w:val="Heading1"/>
        <w:ind w:hanging="0" w:start="0"/>
        <w:rPr>
          <w:b/>
          <w:bCs/>
        </w:rPr>
      </w:pPr>
      <w:r>
        <w:rPr>
          <w:b/>
          <w:bCs/>
        </w:rPr>
        <w:t>Executive Order D-23-01: Powerplant Maintenance and Operation Performance Standards</w:t>
      </w:r>
    </w:p>
    <w:p>
      <w:pPr>
        <w:pStyle w:val="Normal"/>
        <w:rPr>
          <w:b/>
          <w:bCs/>
        </w:rPr>
      </w:pPr>
      <w:r>
        <w:rPr>
          <w:b/>
          <w:bCs/>
        </w:rPr>
      </w:r>
    </w:p>
    <w:p>
      <w:pPr>
        <w:pStyle w:val="BodyTextIndent"/>
        <w:ind w:hanging="0" w:end="0"/>
        <w:jc w:val="start"/>
        <w:rPr/>
      </w:pPr>
      <w:r>
        <w:rPr/>
        <w:tab/>
        <w:t>EO 23 directs the ISO to undertake tariff modifications regarding its outage coordination program.  Specific steps the ISO is to undertake include: (1) requiring generators to submit planned outage schedules to the ISO; (2) preparation of a “coordinated outage plan” which shall be updated quarterly; (3) identification of generation facility maintenance criteria to be met by generation facilities; (4) maintenance of records regarding any unplanned generation facility outages and to provide those records daily to the Electricity Oversight Board; (5) conducting independent audits of generation facilities that have fallen below performance benchmarks established by the ISO; and (6) consideration of seeking the authority under state law or federal regulation to impose fines on those generation facility owners whose generation facilities have fallen below performance benchmarks established by the ISO.  ISO is to revise its tariffs on these points based on recommendations from the Electricity Oversight Board (“EOB”).</w:t>
      </w:r>
    </w:p>
    <w:p>
      <w:pPr>
        <w:pStyle w:val="BodyTextIndent"/>
        <w:ind w:hanging="0" w:end="0"/>
        <w:rPr/>
      </w:pPr>
      <w:r>
        <w:rPr/>
      </w:r>
    </w:p>
    <w:p>
      <w:pPr>
        <w:pStyle w:val="BodyTextIndent"/>
        <w:ind w:hanging="0" w:end="0"/>
        <w:rPr/>
      </w:pPr>
      <w:r>
        <w:rPr/>
        <w:tab/>
        <w:t xml:space="preserve">This EO also calls on the EOB to propose “emergency legislation” to expand its authority to issue audits of generation facilities that do not meet performance and availability benchmarks, and issue fines against those plants after a hearing.  The EOB, in consultation with ISO, is to review ISO tariffs and make changes “to ensure adequate availability of generation during periods of peak demand.”  </w:t>
      </w:r>
    </w:p>
    <w:p>
      <w:pPr>
        <w:pStyle w:val="BodyTextIndent"/>
        <w:ind w:hanging="0" w:end="0"/>
        <w:rPr/>
      </w:pPr>
      <w:r>
        <w:rPr/>
      </w:r>
    </w:p>
    <w:p>
      <w:pPr>
        <w:pStyle w:val="BodyTextIndent"/>
        <w:ind w:hanging="0" w:end="0"/>
        <w:rPr/>
      </w:pPr>
      <w:r>
        <w:rPr/>
        <w:tab/>
        <w:t>This EO orders the CPUC to issue orders and directives, after a hearing, to ensure that utilities subject to its jurisdiction, run plants “in a manner that assures their availability to maintain the reliability of the electric supply system.”</w:t>
      </w:r>
    </w:p>
    <w:p>
      <w:pPr>
        <w:pStyle w:val="BodyTextIndent"/>
        <w:ind w:hanging="0" w:end="0"/>
        <w:rPr/>
      </w:pPr>
      <w:r>
        <w:rPr/>
      </w:r>
    </w:p>
    <w:p>
      <w:pPr>
        <w:pStyle w:val="BodyTextIndent"/>
        <w:ind w:hanging="0" w:end="0"/>
        <w:rPr/>
      </w:pPr>
      <w:r>
        <w:rPr>
          <w:b/>
          <w:bCs/>
          <w:i/>
          <w:iCs/>
        </w:rPr>
        <w:t>Analysis:</w:t>
      </w:r>
      <w:r>
        <w:rPr/>
        <w:t xml:space="preserve"> This EO indicates a new effort at re-regulation based on the assertion that “forced outages” and unscheduled maintenance have jeopardized system reliability.  The expansion of EOB authority and the concept of fines is extremely troubling, particularly as the EOB has no administrative processes in place and its “jurisdiction” is fuzzy at best.  In many respects the elements the ISO is to perform already exist within the “outage coordination protocols,” however it now appears that the ISO will seek to put into place punitive fines based on unilaterally developed “performance standards.”  These changes will require filings with FERC that will not go unchallenged.  </w:t>
      </w:r>
    </w:p>
    <w:p>
      <w:pPr>
        <w:pStyle w:val="Normal"/>
        <w:rPr/>
      </w:pPr>
      <w:r>
        <w:rPr/>
      </w:r>
    </w:p>
    <w:p>
      <w:pPr>
        <w:pStyle w:val="BodyText"/>
        <w:keepNext w:val="true"/>
        <w:rPr>
          <w:b/>
          <w:bCs/>
        </w:rPr>
      </w:pPr>
      <w:r>
        <w:rPr>
          <w:b/>
          <w:bCs/>
        </w:rPr>
        <w:t xml:space="preserve">Executive Order D-24-01: Modification of Air Emissions Limitations and Creation of ERC “Bank” </w:t>
      </w:r>
    </w:p>
    <w:p>
      <w:pPr>
        <w:pStyle w:val="Header"/>
        <w:keepNext w:val="true"/>
        <w:tabs>
          <w:tab w:val="clear" w:pos="4320"/>
          <w:tab w:val="clear" w:pos="8640"/>
        </w:tabs>
        <w:rPr>
          <w:b/>
          <w:bCs/>
        </w:rPr>
      </w:pPr>
      <w:r>
        <w:rPr>
          <w:b/>
          <w:bCs/>
        </w:rPr>
      </w:r>
    </w:p>
    <w:p>
      <w:pPr>
        <w:pStyle w:val="Normal"/>
        <w:rPr/>
      </w:pPr>
      <w:r>
        <w:rPr/>
        <w:tab/>
        <w:t xml:space="preserve">This EO addresses air emissions regulations that could impact the operation of powerplants.  The primary beneficiaries of this EO appear to be those projects that sell output to DWR.  First, the EO orders local air districts to modify air emissions rate limitations that could limit project operations.  Emissions above current limits will require payment of a “mitigation fee.”  The Administrative Procedures Act is suspended, if necessary, to allow for the permit modifications.  </w:t>
      </w:r>
    </w:p>
    <w:p>
      <w:pPr>
        <w:pStyle w:val="Normal"/>
        <w:rPr/>
      </w:pPr>
      <w:r>
        <w:rPr/>
      </w:r>
    </w:p>
    <w:p>
      <w:pPr>
        <w:pStyle w:val="Normal"/>
        <w:rPr/>
      </w:pPr>
      <w:r>
        <w:rPr/>
        <w:tab/>
        <w:t>This EO also creates an “emissions reduction credit bank” using emissions reductions from all available resources to be made available for “new or expanded peaking capacity for the summer peak season in 2001.”  Projects that sell output to DWR can get those credits at up to a 50% reduction.  Proceeds from the ERCs go to the local district to fund other emissions reduction programs.  CARB is to use remaining appropriated funds to secure ERCs for its bank or that of any local district.  This EO sunsets December 31, 2001, unless extended.</w:t>
      </w:r>
    </w:p>
    <w:p>
      <w:pPr>
        <w:pStyle w:val="Normal"/>
        <w:rPr/>
      </w:pPr>
      <w:r>
        <w:rPr/>
      </w:r>
    </w:p>
    <w:p>
      <w:pPr>
        <w:pStyle w:val="Normal"/>
        <w:rPr/>
      </w:pPr>
      <w:r>
        <w:rPr>
          <w:b/>
          <w:bCs/>
          <w:i/>
          <w:iCs/>
        </w:rPr>
        <w:t>Analysis</w:t>
      </w:r>
      <w:r>
        <w:rPr/>
        <w:t xml:space="preserve">: This EO is aimed at removing operation restrictions tied to air emissions limitations, particularly for peaker facilities needed this summer.   Certain legal issues arise over the elements that favor generators selling to DWR (particularly to the extent existing capacity is already committed under power marketing contracts).  </w:t>
      </w:r>
    </w:p>
    <w:p>
      <w:pPr>
        <w:pStyle w:val="Normal"/>
        <w:rPr/>
      </w:pPr>
      <w:r>
        <w:rPr/>
      </w:r>
    </w:p>
    <w:p>
      <w:pPr>
        <w:pStyle w:val="Heading1"/>
        <w:ind w:hanging="0" w:start="0"/>
        <w:rPr>
          <w:b/>
          <w:bCs/>
          <w:u w:val="none"/>
        </w:rPr>
      </w:pPr>
      <w:r>
        <w:rPr>
          <w:b/>
          <w:bCs/>
        </w:rPr>
        <w:t>Executive Order D-25-01: Suspension of CEC Regulation Regarding “Post-Certification Amendments” and Construction Milestone Requirements Subject to AFC Forfeiture</w:t>
      </w:r>
    </w:p>
    <w:p>
      <w:pPr>
        <w:pStyle w:val="Normal"/>
        <w:rPr>
          <w:b/>
          <w:bCs/>
          <w:u w:val="none"/>
        </w:rPr>
      </w:pPr>
      <w:r>
        <w:rPr>
          <w:b/>
          <w:bCs/>
          <w:u w:val="none"/>
        </w:rPr>
      </w:r>
    </w:p>
    <w:p>
      <w:pPr>
        <w:pStyle w:val="Normal"/>
        <w:rPr/>
      </w:pPr>
      <w:r>
        <w:rPr/>
        <w:tab/>
        <w:t>This Executive Order provides for the suspension of certain CEC regulations regarding “post-certification amendments” for thermal projects, including proposals to convert simple cycle projects to combined cycle / cogeneration facilities.  The EO also directs the CEC to create project development milestones which would include the requirement to begin construction within one year of certification as well as preestablished development milestones.  Failure to meet the milestones, without a showing of good cause, would result in a forfeiture of the AFC.  The CEC is authorized to “suspend the implementing regulations that would otherwise regulate the forfeiture of certification.”</w:t>
      </w:r>
    </w:p>
    <w:p>
      <w:pPr>
        <w:pStyle w:val="Normal"/>
        <w:rPr/>
      </w:pPr>
      <w:r>
        <w:rPr/>
      </w:r>
    </w:p>
    <w:p>
      <w:pPr>
        <w:pStyle w:val="Normal"/>
        <w:rPr/>
      </w:pPr>
      <w:r>
        <w:rPr>
          <w:b/>
          <w:bCs/>
          <w:i/>
          <w:iCs/>
        </w:rPr>
        <w:t>Analysis</w:t>
      </w:r>
      <w:r>
        <w:rPr/>
        <w:t>:  This is the first EO that specifically suspends administrative processes associated with extinguishing a permit.  The EO is also clearly a “stick” associated with project permitting and development.  While a portion of the EO could lead to new amendments for earlier operation of some generation capacity (i.e., earlier stage of simple cycle where that would be incorporated into a larger subsequent project), new risks are created for project development depending upon the development standards/milestones created by the CEC as well as other regulatory changes that could occur in the current crisis environment.</w:t>
      </w:r>
    </w:p>
    <w:p>
      <w:pPr>
        <w:pStyle w:val="Normal"/>
        <w:rPr/>
      </w:pPr>
      <w:r>
        <w:rPr/>
      </w:r>
    </w:p>
    <w:p>
      <w:pPr>
        <w:pStyle w:val="Heading1"/>
        <w:ind w:hanging="0" w:start="0"/>
        <w:rPr>
          <w:b/>
          <w:bCs/>
        </w:rPr>
      </w:pPr>
      <w:r>
        <w:rPr>
          <w:b/>
          <w:bCs/>
        </w:rPr>
        <w:t xml:space="preserve">Executive Order D-26-01:  CEC Siting Regulations and Expedited Environmental Review for Summer 2001 Peaker Projects </w:t>
      </w:r>
    </w:p>
    <w:p>
      <w:pPr>
        <w:pStyle w:val="Header"/>
        <w:keepNext w:val="true"/>
        <w:tabs>
          <w:tab w:val="clear" w:pos="4320"/>
          <w:tab w:val="clear" w:pos="8640"/>
        </w:tabs>
        <w:rPr>
          <w:b/>
          <w:bCs/>
        </w:rPr>
      </w:pPr>
      <w:r>
        <w:rPr>
          <w:b/>
          <w:bCs/>
        </w:rPr>
      </w:r>
    </w:p>
    <w:p>
      <w:pPr>
        <w:pStyle w:val="Normal"/>
        <w:rPr/>
      </w:pPr>
      <w:r>
        <w:rPr/>
        <w:tab/>
        <w:t xml:space="preserve">This executive order attempts to get peaker projects on-line for “summer 2001.”  It takes a number of steps to expedite or suspend certain environmental review requirements, particularly for peakers that would be sited for summer 2001 and 2002.  The steps include peaker projects that have contracts with the ISO.  The EO requires the CEC to issue a report by February 21 on sites within California for peakers needed through summer 2003.  The CEC’s “final staff report” is to be used like an EIR where the agency must make decisions in compliance with CEQA, unless the CEC decides that another document is more appropriate.  The EO requires the CPUC to “ensure” that the IOUs complete interconnection studies “within seven days of receipt of the completed application.”  The EO has a sunset date of December 31, 2001.  </w:t>
      </w:r>
    </w:p>
    <w:p>
      <w:pPr>
        <w:pStyle w:val="Normal"/>
        <w:rPr/>
      </w:pPr>
      <w:r>
        <w:rPr/>
      </w:r>
    </w:p>
    <w:p>
      <w:pPr>
        <w:pStyle w:val="Normal"/>
        <w:rPr/>
      </w:pPr>
      <w:r>
        <w:rPr>
          <w:b/>
          <w:bCs/>
          <w:i/>
          <w:iCs/>
        </w:rPr>
        <w:t>Analysis:</w:t>
      </w:r>
      <w:r>
        <w:rPr/>
        <w:t xml:space="preserve">  Coupled with the EO regarding air permit limitations, this EO could help get some peaker capacity in place, however time constraints make it unlikely that any project not already underway could meet the July 31 operations deadline.  The suspension of “all restrictions” in Section 25552, as to application of the 4-month process for simple-cycle projects could significantly expedite the permitting process.  The immediate issue will be the CEC’s implementation of this EO.</w:t>
      </w:r>
    </w:p>
    <w:p>
      <w:pPr>
        <w:pStyle w:val="Normal"/>
        <w:rPr/>
      </w:pPr>
      <w:r>
        <w:rPr/>
      </w:r>
    </w:p>
    <w:p>
      <w:pPr>
        <w:pStyle w:val="Heading2"/>
        <w:ind w:hanging="0" w:start="0"/>
        <w:rPr/>
      </w:pPr>
      <w:r>
        <w:rPr/>
        <w:t>Executive Order D-27-01: Bonuses for New Capacity and Increased Availability</w:t>
      </w:r>
    </w:p>
    <w:p>
      <w:pPr>
        <w:pStyle w:val="Normal"/>
        <w:rPr/>
      </w:pPr>
      <w:r>
        <w:rPr/>
      </w:r>
    </w:p>
    <w:p>
      <w:pPr>
        <w:pStyle w:val="Normal"/>
        <w:rPr/>
      </w:pPr>
      <w:r>
        <w:rPr/>
        <w:tab/>
        <w:t xml:space="preserve">This Executive Order takes the appropriations of the Department of Parks and Recreation and makes it available for the provision of “performance awards related to the construction of powerplants for new sources of generation brought on-line prior to July 1, 2001.”  </w:t>
      </w:r>
    </w:p>
    <w:p>
      <w:pPr>
        <w:pStyle w:val="Normal"/>
        <w:rPr/>
      </w:pPr>
      <w:r>
        <w:rPr/>
      </w:r>
    </w:p>
    <w:p>
      <w:pPr>
        <w:pStyle w:val="Normal"/>
        <w:rPr/>
      </w:pPr>
      <w:r>
        <w:rPr>
          <w:b/>
          <w:bCs/>
          <w:i/>
          <w:iCs/>
        </w:rPr>
        <w:t>Analysis</w:t>
      </w:r>
      <w:r>
        <w:rPr/>
        <w:t xml:space="preserve">: There are no details regarding the performance program.  These incentives will only serve as a carrot for continued development of projects well on the way for completion.  </w:t>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t>Governor’s Executive Orders</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4</w:t>
    </w:r>
    <w:r>
      <w:rPr>
        <w:rStyle w:val="PageNumber"/>
      </w:rPr>
      <w:fldChar w:fldCharType="end"/>
    </w:r>
  </w:p>
  <w:p>
    <w:pPr>
      <w:pStyle w:val="Header"/>
      <w:rPr/>
    </w:pPr>
    <w:r>
      <w:rPr>
        <w:rStyle w:val="PageNumber"/>
      </w:rPr>
      <w:t>February 9, 2001</w:t>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360"/>
      <w:jc w:val="center"/>
      <w:rPr>
        <w:smallCaps/>
      </w:rPr>
    </w:pPr>
    <w:r>
      <w:rPr>
        <w:smallCaps/>
        <w:color w:val="008080"/>
        <w:sz w:val="26"/>
        <w:szCs w:val="26"/>
      </w:rPr>
      <w:t>Ellison, Schneider &amp; Harris L.L.P.</w:t>
    </w:r>
  </w:p>
  <w:p>
    <w:pPr>
      <w:pStyle w:val="Normal"/>
      <w:spacing w:lineRule="atLeast" w:line="312"/>
      <w:jc w:val="center"/>
      <w:rPr>
        <w:smallCaps/>
      </w:rPr>
    </w:pPr>
    <w:r>
      <w:rPr>
        <w:smallCaps/>
        <w:sz w:val="22"/>
        <w:szCs w:val="22"/>
      </w:rPr>
      <w:t>Attorneys at Law</w:t>
    </w:r>
  </w:p>
  <w:p>
    <w:pPr>
      <w:pStyle w:val="Normal"/>
      <w:jc w:val="center"/>
      <w:rPr/>
    </w:pPr>
    <w:r>
      <w:rPr>
        <w:smallCaps/>
      </w:rPr>
      <w:t>2015 H</w:t>
    </w:r>
    <w:r>
      <w:fldChar w:fldCharType="begin"/>
    </w:r>
    <w:r>
      <w:rPr>
        <w:smallCaps/>
      </w:rPr>
      <w:instrText xml:space="preserve">ADVANCE \r 0</w:instrText>
    </w:r>
    <w:r>
      <w:rPr>
        <w:smallCaps/>
      </w:rPr>
    </w:r>
    <w:r>
      <w:rPr>
        <w:smallCaps/>
      </w:rPr>
      <w:fldChar w:fldCharType="separate"/>
    </w:r>
    <w:r>
      <w:rPr>
        <w:smallCaps/>
      </w:rPr>
    </w:r>
    <w:r>
      <w:rPr>
        <w:smallCaps/>
      </w:rPr>
    </w:r>
    <w:r>
      <w:rPr>
        <w:smallCaps/>
      </w:rPr>
      <w:fldChar w:fldCharType="end"/>
    </w:r>
    <w:r>
      <w:rPr>
        <w:smallCaps/>
      </w:rPr>
      <w:t xml:space="preserve"> Street</w:t>
    </w:r>
  </w:p>
  <w:p>
    <w:pPr>
      <w:pStyle w:val="Normal"/>
      <w:jc w:val="center"/>
      <w:rPr>
        <w:smallCaps/>
      </w:rPr>
    </w:pPr>
    <w:r>
      <w:rPr>
        <w:smallCaps/>
      </w:rPr>
      <w:t>Sacramento, California  95814-3109</w:t>
    </w:r>
  </w:p>
  <w:p>
    <w:pPr>
      <w:pStyle w:val="Normal"/>
      <w:jc w:val="center"/>
      <w:rPr/>
    </w:pPr>
    <w:r>
      <w:rPr/>
      <w:t>Telephone (916) 447-2166   Fax (916) 447-3512</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bCs/>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Cs w:val="20"/>
    </w:rPr>
  </w:style>
  <w:style w:type="paragraph" w:styleId="BodyTextIndent2">
    <w:name w:val="Body Text Indent 2"/>
    <w:basedOn w:val="Normal"/>
    <w:qFormat/>
    <w:pPr>
      <w:ind w:hanging="0" w:start="720" w:end="0"/>
    </w:pPr>
    <w:rPr>
      <w:rFonts w:ascii="Arial" w:hAnsi="Arial" w:cs="Arial"/>
      <w:szCs w:val="20"/>
    </w:rPr>
  </w:style>
  <w:style w:type="paragraph" w:styleId="BodyTextIndent3">
    <w:name w:val="Body Text Indent 3"/>
    <w:basedOn w:val="Normal"/>
    <w:qFormat/>
    <w:pPr>
      <w:ind w:hanging="0" w:start="720" w:end="0"/>
      <w:jc w:val="both"/>
    </w:pPr>
    <w:rPr>
      <w:rFonts w:ascii="Arial" w:hAnsi="Arial" w:cs="Arial"/>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esh_memo.dot</Template>
  <TotalTime>145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2001-02-09T02:46:00Z</dcterms:created>
  <dc:creator>Andrew Brown</dc:creator>
  <dc:description/>
  <dc:language>en-CA</dc:language>
  <cp:lastModifiedBy>Andrew Brown</cp:lastModifiedBy>
  <dcterms:modified xsi:type="dcterms:W3CDTF">2001-02-09T18:10:00Z</dcterms:modified>
  <cp:revision>9</cp:revision>
  <dc:subject/>
  <dc:title>CONFIDENTIAL AND PRIVILEGED ATTORNEY-CLIENT COMMUNICATION</dc:title>
</cp:coreProperties>
</file>