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rPr/>
      </w:pPr>
      <w:r>
        <w:rPr/>
      </w:r>
    </w:p>
    <w:p>
      <w:pPr>
        <w:pStyle w:val="Normal"/>
        <w:tabs>
          <w:tab w:val="left" w:pos="720" w:leader="none"/>
          <w:tab w:val="left" w:pos="1440" w:leader="none"/>
        </w:tabs>
        <w:ind w:hanging="1440" w:start="1440" w:end="0"/>
        <w:rPr/>
      </w:pPr>
      <w:r>
        <w:rPr/>
        <w:t>TO:</w:t>
        <w:tab/>
        <w:tab/>
        <w:t>Jan Smutny-Jones</w:t>
      </w:r>
    </w:p>
    <w:p>
      <w:pPr>
        <w:pStyle w:val="Normal"/>
        <w:tabs>
          <w:tab w:val="left" w:pos="720" w:leader="none"/>
          <w:tab w:val="left" w:pos="1440" w:leader="none"/>
        </w:tabs>
        <w:ind w:hanging="1440" w:start="1440" w:end="0"/>
        <w:rPr/>
      </w:pPr>
      <w:r>
        <w:rPr/>
        <w:tab/>
        <w:t>cc:</w:t>
        <w:tab/>
        <w:t>Julee Malinowsky-Ball</w:t>
      </w:r>
    </w:p>
    <w:p>
      <w:pPr>
        <w:pStyle w:val="Normal"/>
        <w:tabs>
          <w:tab w:val="left" w:pos="720" w:leader="none"/>
          <w:tab w:val="left" w:pos="1440" w:leader="none"/>
        </w:tabs>
        <w:ind w:hanging="1440" w:start="1440" w:end="0"/>
        <w:rPr/>
      </w:pPr>
      <w:r>
        <w:rPr/>
        <w:tab/>
        <w:tab/>
        <w:t>Katie Kaplan</w:t>
      </w:r>
    </w:p>
    <w:p>
      <w:pPr>
        <w:pStyle w:val="Normal"/>
        <w:rPr/>
      </w:pPr>
      <w:r>
        <w:rPr/>
      </w:r>
    </w:p>
    <w:p>
      <w:pPr>
        <w:pStyle w:val="Normal"/>
        <w:tabs>
          <w:tab w:val="left" w:pos="720" w:leader="none"/>
          <w:tab w:val="left" w:pos="1440" w:leader="none"/>
        </w:tabs>
        <w:ind w:hanging="1440" w:start="1440" w:end="0"/>
        <w:rPr/>
      </w:pPr>
      <w:r>
        <w:rPr/>
        <w:t>FROM:</w:t>
        <w:tab/>
        <w:t>Andy Brown</w:t>
      </w:r>
    </w:p>
    <w:p>
      <w:pPr>
        <w:pStyle w:val="Normal"/>
        <w:rPr/>
      </w:pPr>
      <w:r>
        <w:rPr/>
      </w:r>
    </w:p>
    <w:p>
      <w:pPr>
        <w:pStyle w:val="Normal"/>
        <w:tabs>
          <w:tab w:val="left" w:pos="720" w:leader="none"/>
          <w:tab w:val="left" w:pos="1440" w:leader="none"/>
        </w:tabs>
        <w:ind w:hanging="1440" w:start="1440" w:end="0"/>
        <w:rPr/>
      </w:pPr>
      <w:r>
        <w:rPr/>
        <w:t>RE:</w:t>
        <w:tab/>
        <w:tab/>
        <w:t>SBX-6 “Public Power Authority”</w:t>
      </w:r>
    </w:p>
    <w:p>
      <w:pPr>
        <w:pStyle w:val="Normal"/>
        <w:rPr/>
      </w:pPr>
      <w:r>
        <w:rPr/>
      </w:r>
    </w:p>
    <w:p>
      <w:pPr>
        <w:pStyle w:val="Normal"/>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tab/>
        <w:t xml:space="preserve">Below are some comments on the SBX-6 bill, “California Consumer Power and Conservation Financing Authority Act.”  This bill would provide State financing authority for public or private power development, renewable and conservation programs, acquisition of the state transmission systems and other authority.  At the most basic level, this regulatory change is a complete reversal of policy that would now put taxpayer monies at risk rather than private capital or utility ratepayer monies.  </w:t>
      </w:r>
    </w:p>
    <w:p>
      <w:pPr>
        <w:pStyle w:val="Normal"/>
        <w:rPr/>
      </w:pPr>
      <w:r>
        <w:rPr/>
      </w:r>
    </w:p>
    <w:p>
      <w:pPr>
        <w:pStyle w:val="Normal"/>
        <w:rPr/>
      </w:pPr>
      <w:r>
        <w:rPr/>
        <w:tab/>
        <w:t>Please contact me should you have any questions regarding this memorandum.</w:t>
      </w:r>
    </w:p>
    <w:p>
      <w:pPr>
        <w:pStyle w:val="Normal"/>
        <w:rPr/>
      </w:pPr>
      <w:r>
        <w:rPr/>
      </w:r>
    </w:p>
    <w:p>
      <w:pPr>
        <w:pStyle w:val="Heading1"/>
        <w:ind w:hanging="0" w:start="0"/>
        <w:rPr/>
      </w:pPr>
      <w:r>
        <w:rPr/>
        <w:t>Eminent Domain</w:t>
      </w:r>
    </w:p>
    <w:p>
      <w:pPr>
        <w:pStyle w:val="Normal"/>
        <w:rPr/>
      </w:pPr>
      <w:r>
        <w:rPr/>
      </w:r>
    </w:p>
    <w:p>
      <w:pPr>
        <w:pStyle w:val="Normal"/>
        <w:rPr/>
      </w:pPr>
      <w:r>
        <w:rPr/>
        <w:tab/>
        <w:t>Presuming this is regulatory change is moving forward, the most problematic element of the proposal is the granting of unbounded eminent domain authority to the entity.  Such authority could allow for the takings of power plants, or the pre-construction plans for such facilities now within the CEC siting process.   If the intent of the legislation is to “supplement private sector power generation” (§3352), then there should be no opposition to bounding the exercise of such authority absence abandonment of a pending or existing project.  Below is suggested amendment:</w:t>
      </w:r>
    </w:p>
    <w:p>
      <w:pPr>
        <w:pStyle w:val="Normal"/>
        <w:rPr/>
      </w:pPr>
      <w:r>
        <w:rPr/>
      </w:r>
    </w:p>
    <w:p>
      <w:pPr>
        <w:pStyle w:val="Normal"/>
        <w:rPr/>
      </w:pPr>
      <w:r>
        <w:rPr/>
        <w:t xml:space="preserve">3341(a) Exercise the power of eminent domain </w:t>
      </w:r>
      <w:r>
        <w:rPr>
          <w:u w:val="single"/>
        </w:rPr>
        <w:t>for the purposes of this section, provided however, that such power shall not be exercised in a manner which results in the taking of a generation project under current operation or development by the private sector, including, but not limited to, those project with applications pending  before state or local entities with permitting authority.</w:t>
      </w:r>
    </w:p>
    <w:p>
      <w:pPr>
        <w:pStyle w:val="Normal"/>
        <w:rPr/>
      </w:pPr>
      <w:r>
        <w:rPr/>
      </w:r>
    </w:p>
    <w:p>
      <w:pPr>
        <w:pStyle w:val="Heading1"/>
        <w:ind w:hanging="0" w:start="0"/>
        <w:rPr/>
      </w:pPr>
      <w:r>
        <w:rPr/>
        <w:t>Rate Regulation</w:t>
      </w:r>
    </w:p>
    <w:p>
      <w:pPr>
        <w:pStyle w:val="Header"/>
        <w:keepNext w:val="true"/>
        <w:tabs>
          <w:tab w:val="clear" w:pos="4320"/>
          <w:tab w:val="clear" w:pos="8640"/>
        </w:tabs>
        <w:rPr/>
      </w:pPr>
      <w:r>
        <w:rPr/>
      </w:r>
    </w:p>
    <w:p>
      <w:pPr>
        <w:pStyle w:val="Normal"/>
        <w:rPr/>
      </w:pPr>
      <w:r>
        <w:rPr/>
        <w:tab/>
        <w:t>Conditions to the provision of financing by the authority, as stated in §§ 3351 and 3353, include the determination of the project’s power rates by the CPUC or municipal governing body.   Section 3341(l) suggests that the authority could convey a project to a leasee once the indebtedness is paid off.  It is unclear whether, upon such conveyance or completion of other financial obligations to the authority, the project would then be free of such rate regulation.  To the extent that private entities participate in such projects, at the completion of the financing term (or other conditions agreed to by the private entity), that entity should be freed from such rate regulation.</w:t>
      </w:r>
    </w:p>
    <w:p>
      <w:pPr>
        <w:pStyle w:val="Normal"/>
        <w:rPr/>
      </w:pPr>
      <w:r>
        <w:rPr/>
      </w:r>
    </w:p>
    <w:p>
      <w:pPr>
        <w:pStyle w:val="Heading1"/>
        <w:ind w:hanging="0" w:start="0"/>
        <w:rPr/>
      </w:pPr>
      <w:r>
        <w:rPr/>
        <w:t>Renewables and Conservation</w:t>
      </w:r>
    </w:p>
    <w:p>
      <w:pPr>
        <w:pStyle w:val="Normal"/>
        <w:rPr/>
      </w:pPr>
      <w:r>
        <w:rPr/>
      </w:r>
    </w:p>
    <w:p>
      <w:pPr>
        <w:pStyle w:val="Normal"/>
        <w:rPr/>
      </w:pPr>
      <w:r>
        <w:rPr/>
        <w:tab/>
        <w:t xml:space="preserve">Article 7 (Section 3365, et seq) of the proposed legislation allows for the provision of financing for energy conservation and renewable energy resources, including that provided via the issuance of bonds.  However, §3380(c) would allow for the recapture of monies initially allocated for such bonds to the extent it is not by January 1, 2004.  To the extent that energy conservation and renewable energy programs represent a durable part of the state’s energy policy, it is unclear that reduction of demand and reliance on finite fuels should be subject to a sunset.  Such sunset and recapture should be contingent upon a finding by the authority, agreed to by the Governor, that there are no additional opportunities for meaningful investment in conservation and renewable energy. </w:t>
      </w:r>
    </w:p>
    <w:p>
      <w:pPr>
        <w:pStyle w:val="Normal"/>
        <w:rPr/>
      </w:pPr>
      <w:r>
        <w:rPr/>
      </w:r>
    </w:p>
    <w:p>
      <w:pPr>
        <w:pStyle w:val="Heading1"/>
        <w:ind w:hanging="0" w:start="0"/>
        <w:rPr/>
      </w:pPr>
      <w:r>
        <w:rPr/>
        <w:t>Project Costs</w:t>
      </w:r>
    </w:p>
    <w:p>
      <w:pPr>
        <w:pStyle w:val="Normal"/>
        <w:rPr/>
      </w:pPr>
      <w:r>
        <w:rPr/>
      </w:r>
    </w:p>
    <w:p>
      <w:pPr>
        <w:pStyle w:val="Normal"/>
        <w:rPr/>
      </w:pPr>
      <w:r>
        <w:rPr/>
        <w:tab/>
        <w:t>Section 3302(g) defines “cost” for the purposes of the division.  That definition appears to include only capital-related costs of a project.  Until the project can establish initial revenues, there will be a need for some variable operating costs (i.e., fuel and O&amp;M) to begin project operation.  Such limited costs should also be included in the definition, particularly if long-term fuel supplies are to be secured prior to operation.</w:t>
      </w:r>
    </w:p>
    <w:p>
      <w:pPr>
        <w:pStyle w:val="Normal"/>
        <w:rPr/>
      </w:pPr>
      <w:r>
        <w:rPr/>
      </w:r>
    </w:p>
    <w:p>
      <w:pPr>
        <w:pStyle w:val="Normal"/>
        <w:rPr/>
      </w:pPr>
      <w:r>
        <w:rPr/>
        <w:tab/>
      </w:r>
    </w:p>
    <w:p>
      <w:pPr>
        <w:pStyle w:val="Normal"/>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PageNumber"/>
      </w:rPr>
    </w:pPr>
    <w:r>
      <w:rPr/>
      <w:t>SBX-6 “Public Power Authority”</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pPr>
    <w:r>
      <w:rPr>
        <w:rStyle w:val="PageNumber"/>
      </w:rPr>
      <w:t>January 18, 2001</w:t>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rPr>
    </w:pPr>
    <w:r>
      <w:rPr>
        <w:smallCaps/>
        <w:color w:val="008080"/>
        <w:sz w:val="26"/>
      </w:rPr>
      <w:t>Ellison, Schneider &amp; Harris L.L.P.</w:t>
    </w:r>
  </w:p>
  <w:p>
    <w:pPr>
      <w:pStyle w:val="Normal"/>
      <w:spacing w:lineRule="atLeast" w:line="312"/>
      <w:jc w:val="center"/>
      <w:rPr>
        <w:smallCaps/>
      </w:rPr>
    </w:pPr>
    <w:r>
      <w:rPr>
        <w:smallCaps/>
        <w:sz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mallCaps/>
      </w:rPr>
    </w:pPr>
    <w:r>
      <w:rPr>
        <w:smallCaps/>
      </w:rPr>
      <w:t>Telephone (916) 447-2166   Fax (916) 447-3512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re">
    <w:name w:val="re"/>
    <w:basedOn w:val="Normal"/>
    <w:qFormat/>
    <w:pPr>
      <w:tabs>
        <w:tab w:val="left" w:pos="720" w:leader="none"/>
        <w:tab w:val="left" w:pos="1440" w:leader="none"/>
      </w:tabs>
      <w:ind w:hanging="1440" w:start="144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esh memo format with eltr header</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2001-02-09T22:05:00Z</dcterms:created>
  <dc:creator>Andrew Brown</dc:creator>
  <dc:description/>
  <dc:language>en-CA</dc:language>
  <cp:lastModifiedBy>J Malinowski-Ball</cp:lastModifiedBy>
  <cp:lastPrinted>2000-02-17T11:23:00Z</cp:lastPrinted>
  <dcterms:modified xsi:type="dcterms:W3CDTF">2001-02-09T22:05:00Z</dcterms:modified>
  <cp:revision>2</cp:revision>
  <dc:subject/>
  <dc:title>CONFIDENTIAL AND PRIVILEGED ATTORNEY-CLIENT COMMUNICATION</dc:title>
</cp:coreProperties>
</file>