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sz w:val="24"/>
        </w:rPr>
      </w:pPr>
      <w:r>
        <w:rPr>
          <w:b/>
          <w:sz w:val="24"/>
        </w:rPr>
        <w:t>BEFORE THE PUBLIC UTILITIES COMMISSION OF THE STATE OF CALIFORNIA</w:t>
      </w:r>
    </w:p>
    <w:p>
      <w:pPr>
        <w:pStyle w:val="Normal"/>
        <w:widowControl w:val="false"/>
        <w:rPr>
          <w:b/>
          <w:sz w:val="24"/>
        </w:rPr>
      </w:pPr>
      <w:r>
        <w:rPr>
          <w:b/>
          <w:sz w:val="24"/>
        </w:rPr>
      </w:r>
    </w:p>
    <w:p>
      <w:pPr>
        <w:pStyle w:val="Normal"/>
        <w:widowControl w:val="false"/>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5148"/>
        <w:gridCol w:w="4428"/>
      </w:tblGrid>
      <w:tr>
        <w:trPr/>
        <w:tc>
          <w:tcPr>
            <w:tcW w:w="5148" w:type="dxa"/>
            <w:tcBorders>
              <w:bottom w:val="single" w:sz="4" w:space="0" w:color="000000"/>
              <w:end w:val="single" w:sz="4" w:space="0" w:color="000000"/>
            </w:tcBorders>
          </w:tcPr>
          <w:p>
            <w:pPr>
              <w:pStyle w:val="Normal"/>
              <w:widowControl w:val="false"/>
              <w:rPr>
                <w:sz w:val="24"/>
              </w:rPr>
            </w:pPr>
            <w:r>
              <w:rPr>
                <w:sz w:val="24"/>
              </w:rPr>
              <w:t>Order Instituting Rulemaking into Implementation of Pub. Util. Code § 390</w:t>
            </w:r>
          </w:p>
          <w:p>
            <w:pPr>
              <w:pStyle w:val="Normal"/>
              <w:widowControl w:val="false"/>
              <w:rPr>
                <w:sz w:val="24"/>
              </w:rPr>
            </w:pPr>
            <w:r>
              <w:rPr>
                <w:sz w:val="24"/>
              </w:rPr>
            </w:r>
          </w:p>
        </w:tc>
        <w:tc>
          <w:tcPr>
            <w:tcW w:w="4428" w:type="dxa"/>
            <w:tcBorders/>
          </w:tcPr>
          <w:p>
            <w:pPr>
              <w:pStyle w:val="Heading1"/>
              <w:ind w:hanging="0" w:start="0"/>
              <w:rPr/>
            </w:pPr>
            <w:r>
              <w:rPr/>
              <w:t>Rulemaking 99-11-022</w:t>
            </w:r>
          </w:p>
          <w:p>
            <w:pPr>
              <w:pStyle w:val="Normal"/>
              <w:widowControl w:val="false"/>
              <w:jc w:val="center"/>
              <w:rPr>
                <w:sz w:val="24"/>
              </w:rPr>
            </w:pPr>
            <w:r>
              <w:rPr>
                <w:sz w:val="24"/>
              </w:rPr>
              <w:t>(Filed November 18, 1999)</w:t>
            </w:r>
          </w:p>
        </w:tc>
      </w:tr>
    </w:tbl>
    <w:p>
      <w:pPr>
        <w:pStyle w:val="Normal"/>
        <w:widowControl w:val="false"/>
        <w:rPr>
          <w:sz w:val="24"/>
        </w:rPr>
      </w:pPr>
      <w:r>
        <w:rPr>
          <w:sz w:val="24"/>
        </w:rPr>
      </w:r>
    </w:p>
    <w:p>
      <w:pPr>
        <w:pStyle w:val="Normal"/>
        <w:widowControl w:val="false"/>
        <w:tabs>
          <w:tab w:val="clear" w:pos="720"/>
          <w:tab w:val="left" w:pos="4896" w:leader="none"/>
          <w:tab w:val="left" w:pos="9666" w:leader="none"/>
        </w:tabs>
        <w:rPr>
          <w:sz w:val="24"/>
        </w:rPr>
      </w:pPr>
      <w:r>
        <w:rPr>
          <w:sz w:val="24"/>
        </w:rPr>
        <w:tab/>
        <w:tab/>
      </w:r>
    </w:p>
    <w:p>
      <w:pPr>
        <w:pStyle w:val="Normal"/>
        <w:widowControl w:val="false"/>
        <w:rPr>
          <w:sz w:val="24"/>
        </w:rPr>
      </w:pPr>
      <w:r>
        <w:rPr>
          <w:sz w:val="24"/>
        </w:rPr>
      </w:r>
    </w:p>
    <w:p>
      <w:pPr>
        <w:pStyle w:val="Normal"/>
        <w:widowControl w:val="false"/>
        <w:tabs>
          <w:tab w:val="clear" w:pos="720"/>
          <w:tab w:val="left" w:pos="5966" w:leader="none"/>
          <w:tab w:val="left" w:pos="8640" w:leader="none"/>
        </w:tabs>
        <w:rPr>
          <w:sz w:val="24"/>
        </w:rPr>
      </w:pPr>
      <w:r>
        <w:rPr>
          <w:sz w:val="24"/>
        </w:rPr>
        <w:tab/>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 xml:space="preserve">COMMENTS OF THE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INDEPENDENT ENERGY PRODUCERS ASSOCIATION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ON THE DRAFT DECISION OF COMMISSIONER WOOD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24"/>
        </w:rPr>
      </w:pPr>
      <w:r>
        <w:rPr>
          <w:b/>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keepNext w:val="true"/>
        <w:widowControl w:val="false"/>
        <w:tabs>
          <w:tab w:val="clear" w:pos="720"/>
          <w:tab w:val="center" w:pos="3600" w:leader="none"/>
          <w:tab w:val="center" w:pos="4320" w:leader="none"/>
          <w:tab w:val="center" w:pos="5040" w:leader="none"/>
        </w:tabs>
        <w:ind w:hanging="3600" w:start="3600" w:end="0"/>
        <w:rPr>
          <w:sz w:val="24"/>
        </w:rPr>
      </w:pPr>
      <w:r>
        <w:rPr>
          <w:sz w:val="24"/>
        </w:rPr>
        <w:tab/>
        <w:tab/>
        <w:t>Andrew B. Brown</w:t>
      </w:r>
    </w:p>
    <w:p>
      <w:pPr>
        <w:pStyle w:val="Normal"/>
        <w:widowControl w:val="false"/>
        <w:tabs>
          <w:tab w:val="left" w:pos="720" w:leader="none"/>
          <w:tab w:val="center" w:pos="3600" w:leader="none"/>
          <w:tab w:val="center" w:pos="4320" w:leader="none"/>
          <w:tab w:val="center" w:pos="5040" w:leader="none"/>
        </w:tabs>
        <w:ind w:hanging="3600" w:start="3600" w:end="0"/>
        <w:rPr>
          <w:sz w:val="24"/>
        </w:rPr>
      </w:pPr>
      <w:r>
        <w:rPr>
          <w:sz w:val="24"/>
        </w:rPr>
        <w:tab/>
        <w:tab/>
        <w:tab/>
        <w:t>Douglas K. Kerner, of Counsel</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7200" w:leader="none"/>
          <w:tab w:val="center" w:pos="7920" w:leader="none"/>
          <w:tab w:val="center" w:pos="8640" w:leader="none"/>
        </w:tabs>
        <w:rPr>
          <w:sz w:val="24"/>
        </w:rPr>
      </w:pPr>
      <w:r>
        <w:rPr>
          <w:sz w:val="24"/>
        </w:rPr>
      </w:r>
    </w:p>
    <w:p>
      <w:pPr>
        <w:pStyle w:val="Normal"/>
        <w:widowControl w:val="false"/>
        <w:tabs>
          <w:tab w:val="clear" w:pos="720"/>
          <w:tab w:val="center" w:pos="2880" w:leader="none"/>
          <w:tab w:val="center" w:pos="3600" w:leader="none"/>
          <w:tab w:val="center" w:pos="4320" w:leader="none"/>
        </w:tabs>
        <w:ind w:hanging="4320" w:start="4320" w:end="0"/>
        <w:rPr>
          <w:sz w:val="24"/>
        </w:rPr>
      </w:pPr>
      <w:r>
        <w:rPr>
          <w:sz w:val="24"/>
        </w:rPr>
        <w:tab/>
        <w:tab/>
        <w:tab/>
        <w:t>ELLISON, SCHNEIDER &amp; HARRIS, LLP</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7200" w:leader="none"/>
          <w:tab w:val="center" w:pos="7920" w:leader="none"/>
          <w:tab w:val="center" w:pos="8640" w:leader="none"/>
        </w:tabs>
        <w:rPr>
          <w:sz w:val="24"/>
        </w:rPr>
      </w:pPr>
      <w:r>
        <w:rPr>
          <w:sz w:val="24"/>
        </w:rPr>
        <w:tab/>
        <w:tab/>
        <w:tab/>
        <w:tab/>
        <w:tab/>
        <w:t>2015 H Street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7200" w:leader="none"/>
          <w:tab w:val="center" w:pos="7920" w:leader="none"/>
          <w:tab w:val="center" w:pos="8640" w:leader="none"/>
        </w:tabs>
        <w:rPr>
          <w:sz w:val="24"/>
        </w:rPr>
      </w:pPr>
      <w:r>
        <w:rPr>
          <w:sz w:val="24"/>
        </w:rPr>
        <w:tab/>
        <w:tab/>
        <w:tab/>
        <w:tab/>
        <w:tab/>
        <w:t>Sacramento, CA  95814-3109</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7200" w:leader="none"/>
          <w:tab w:val="center" w:pos="7920" w:leader="none"/>
          <w:tab w:val="center" w:pos="8640" w:leader="none"/>
        </w:tabs>
        <w:rPr>
          <w:sz w:val="24"/>
        </w:rPr>
      </w:pPr>
      <w:r>
        <w:rPr>
          <w:sz w:val="24"/>
        </w:rPr>
        <w:tab/>
        <w:tab/>
        <w:tab/>
        <w:tab/>
        <w:tab/>
        <w:t>Telephone:  (916) 447-2166</w:t>
      </w:r>
    </w:p>
    <w:p>
      <w:pPr>
        <w:pStyle w:val="Normal"/>
        <w:widowControl w:val="false"/>
        <w:tabs>
          <w:tab w:val="clear" w:pos="720"/>
          <w:tab w:val="center" w:pos="2880" w:leader="none"/>
          <w:tab w:val="center" w:pos="3600" w:leader="none"/>
          <w:tab w:val="center" w:pos="4320" w:leader="none"/>
        </w:tabs>
        <w:ind w:hanging="4320" w:start="4320" w:end="0"/>
        <w:rPr>
          <w:sz w:val="24"/>
        </w:rPr>
      </w:pPr>
      <w:r>
        <w:rPr>
          <w:sz w:val="24"/>
        </w:rPr>
        <w:tab/>
        <w:tab/>
        <w:tab/>
        <w:t>Email: abb@eslawfirm.com</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7200" w:leader="none"/>
          <w:tab w:val="center" w:pos="7920" w:leader="none"/>
          <w:tab w:val="center" w:pos="8640" w:leader="none"/>
        </w:tabs>
        <w:rPr>
          <w:sz w:val="24"/>
        </w:rPr>
      </w:pPr>
      <w:r>
        <w:rPr>
          <w:sz w:val="24"/>
        </w:rPr>
      </w:r>
    </w:p>
    <w:p>
      <w:pPr>
        <w:pStyle w:val="BodyTextIndent"/>
        <w:rPr/>
      </w:pPr>
      <w:r>
        <w:rPr/>
        <w:t>Attorneys for the Independent Energy Producers Association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January 16, 2001</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r>
        <w:br w:type="page"/>
      </w:r>
    </w:p>
    <w:p>
      <w:pPr>
        <w:pStyle w:val="Normal"/>
        <w:widowControl w:val="false"/>
        <w:jc w:val="center"/>
        <w:rPr>
          <w:b/>
          <w:sz w:val="24"/>
        </w:rPr>
      </w:pPr>
      <w:r>
        <w:rPr>
          <w:b/>
          <w:sz w:val="24"/>
        </w:rPr>
        <w:t>BEFORE THE PUBLIC UTILITIES COMMISSION OF THE STATE OF CALIFORNIA</w:t>
      </w:r>
    </w:p>
    <w:p>
      <w:pPr>
        <w:pStyle w:val="Normal"/>
        <w:widowControl w:val="false"/>
        <w:rPr>
          <w:b/>
          <w:sz w:val="24"/>
        </w:rPr>
      </w:pPr>
      <w:r>
        <w:rPr>
          <w:b/>
          <w:sz w:val="24"/>
        </w:rPr>
      </w:r>
    </w:p>
    <w:p>
      <w:pPr>
        <w:pStyle w:val="Normal"/>
        <w:widowControl w:val="false"/>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5148"/>
        <w:gridCol w:w="4428"/>
      </w:tblGrid>
      <w:tr>
        <w:trPr/>
        <w:tc>
          <w:tcPr>
            <w:tcW w:w="5148" w:type="dxa"/>
            <w:tcBorders>
              <w:bottom w:val="single" w:sz="4" w:space="0" w:color="000000"/>
              <w:end w:val="single" w:sz="4" w:space="0" w:color="000000"/>
            </w:tcBorders>
          </w:tcPr>
          <w:p>
            <w:pPr>
              <w:pStyle w:val="Normal"/>
              <w:widowControl w:val="false"/>
              <w:rPr>
                <w:sz w:val="24"/>
              </w:rPr>
            </w:pPr>
            <w:r>
              <w:rPr>
                <w:sz w:val="24"/>
              </w:rPr>
              <w:t>Order Instituting Rulemaking into Implementation of Pub. Util. Code § 390</w:t>
            </w:r>
          </w:p>
          <w:p>
            <w:pPr>
              <w:pStyle w:val="Normal"/>
              <w:widowControl w:val="false"/>
              <w:rPr>
                <w:sz w:val="24"/>
              </w:rPr>
            </w:pPr>
            <w:r>
              <w:rPr>
                <w:sz w:val="24"/>
              </w:rPr>
            </w:r>
          </w:p>
        </w:tc>
        <w:tc>
          <w:tcPr>
            <w:tcW w:w="4428" w:type="dxa"/>
            <w:tcBorders/>
          </w:tcPr>
          <w:p>
            <w:pPr>
              <w:pStyle w:val="Heading1"/>
              <w:ind w:hanging="0" w:start="0"/>
              <w:rPr/>
            </w:pPr>
            <w:r>
              <w:rPr/>
              <w:t>Rulemaking 99-11-022</w:t>
            </w:r>
          </w:p>
          <w:p>
            <w:pPr>
              <w:pStyle w:val="Normal"/>
              <w:widowControl w:val="false"/>
              <w:jc w:val="center"/>
              <w:rPr>
                <w:sz w:val="24"/>
              </w:rPr>
            </w:pPr>
            <w:r>
              <w:rPr>
                <w:sz w:val="24"/>
              </w:rPr>
              <w:t>(Filed November 18, 1999)</w:t>
            </w:r>
          </w:p>
        </w:tc>
      </w:tr>
    </w:tbl>
    <w:p>
      <w:pPr>
        <w:pStyle w:val="Normal"/>
        <w:widowControl w:val="false"/>
        <w:rPr>
          <w:sz w:val="24"/>
        </w:rPr>
      </w:pPr>
      <w:r>
        <w:rPr>
          <w:sz w:val="24"/>
        </w:rPr>
      </w:r>
    </w:p>
    <w:p>
      <w:pPr>
        <w:pStyle w:val="Normal"/>
        <w:widowControl w:val="false"/>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 xml:space="preserve">COMMENTS OF THE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INDEPENDENT ENERGY PRODUCERS ASSOCIATION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ON THE DRAFT DECISION OF COMMISSIONER WOOD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24"/>
        </w:rPr>
      </w:pPr>
      <w:r>
        <w:rPr>
          <w:b/>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sz w:val="24"/>
        </w:rPr>
        <w:tab/>
      </w:r>
      <w:r>
        <w:rPr>
          <w:sz w:val="24"/>
        </w:rPr>
        <w:t>Pursuant to Rule 77, the Independent Energy Producers Association (“IEP”) hereby provides its comments to the Draft Decision of Commissioner Wood.  The Draft Decision was initially released on January 9, 2001.  That version was then replaced on January 10, 2001.  On January 11, Commissioner Wood issued a Ruling responsive to an “emergency motion” filed on January 10 by PG&amp;E.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sz w:val="24"/>
        </w:rPr>
        <w:tab/>
        <w:t xml:space="preserve">At the direction, and with the active participation, of Governor Davis and with the involvement of the Federal government, representatives of virtually the entire electric industry are engaged in discussions directed at resolving California's current electricity crisis.  Integral to these discussions is an understanding that pending and future activities involving electricity issues will not be pursued or taken - a "cease fire".  The emergency motion should therefore be withdrawn. The Draft Decision's proposal to implement by </w:t>
      </w:r>
      <w:r>
        <w:rPr>
          <w:i/>
          <w:sz w:val="24"/>
        </w:rPr>
        <w:t>fiat</w:t>
      </w:r>
      <w:r>
        <w:rPr>
          <w:sz w:val="24"/>
        </w:rPr>
        <w:t xml:space="preserve"> some elements of the emergency motion notwithstanding, IEP will provide only limited comments on those issues at this time, and will provide further comments on January 24, 2001 per Commissioner Wood’s January 11, 2001 Ruling.  IEP requests that consideration of the Draft Decision itself, in all aspects, and this Investigation into Section 390 implementation generally, should be deferred a) in order that the Governor's process may continue productively and b) in favor of an early Prehearing Conference to determine how to proceed with these issues from here.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sz w:val="24"/>
        </w:rPr>
        <w:tab/>
        <w:t xml:space="preserve">All of the foregoing notwithstanding, and despite that IEP and the other parties have been provided with only </w:t>
      </w:r>
      <w:r>
        <w:rPr>
          <w:b/>
          <w:sz w:val="24"/>
        </w:rPr>
        <w:t>two</w:t>
      </w:r>
      <w:r>
        <w:rPr>
          <w:sz w:val="24"/>
        </w:rPr>
        <w:t xml:space="preserve"> business days to respond, the illegality of the Draft Decision is so patent that IEP is compelled to respond as best it can.  IEP desperately hopes that this Commission will respect its own rules and other extraordinary ongoing processes and not act precipitously or at all as the Draft Decision proposes to do.</w:t>
      </w:r>
    </w:p>
    <w:p>
      <w:pPr>
        <w:pStyle w:val="Normal"/>
        <w:keepLines/>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b/>
          <w:sz w:val="24"/>
        </w:rPr>
        <w:t>A.</w:t>
        <w:tab/>
      </w:r>
      <w:r>
        <w:rPr>
          <w:b/>
          <w:sz w:val="24"/>
          <w:u w:val="single"/>
        </w:rPr>
        <w:t xml:space="preserve">Imposing An Arbitrary Limitation on Avoided Cost Is Illegal and Contrary to Avoided Cost Principles, Violates Due Process, and Will Exacerbate California’s Electricity Crisis. </w:t>
      </w:r>
    </w:p>
    <w:p>
      <w:pPr>
        <w:pStyle w:val="Normal"/>
        <w:keepLines/>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sz w:val="24"/>
          <w:u w:val="single"/>
        </w:rPr>
      </w:pPr>
      <w:r>
        <w:rPr>
          <w:b/>
          <w:sz w:val="24"/>
          <w:u w:val="single"/>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05" w:end="0"/>
        <w:rPr>
          <w:sz w:val="24"/>
        </w:rPr>
      </w:pPr>
      <w:r>
        <w:rPr>
          <w:sz w:val="24"/>
        </w:rPr>
        <w:t>The Draft Decision takes an unsupportable step of imposing a $67.45/MWh price cap on short run avoid cost (“SRAC”) energy payments to QFs.  This is both illegal and irrational based on the PD's own stated premises.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05" w:end="0"/>
        <w:rPr/>
      </w:pPr>
      <w:r>
        <w:rPr>
          <w:sz w:val="24"/>
        </w:rPr>
        <w:t xml:space="preserve">The proposed price cap is </w:t>
      </w:r>
      <w:r>
        <w:rPr>
          <w:sz w:val="24"/>
          <w:u w:val="single"/>
        </w:rPr>
        <w:t>illegal</w:t>
      </w:r>
      <w:r>
        <w:rPr>
          <w:sz w:val="24"/>
        </w:rPr>
        <w:t xml:space="preserve"> because it does not reflect utility avoided costs within the meaning of PURPA or as avoided costs are described by the provisions governing the determination of SRAC contained in Section 390(b).  As correctly noted in the Draft Decision, Section 390(b) provides in pertinent part that:</w:t>
      </w:r>
    </w:p>
    <w:p>
      <w:pPr>
        <w:pStyle w:val="BlockText"/>
        <w:ind w:hanging="0" w:start="705" w:end="720"/>
        <w:rPr/>
      </w:pPr>
      <w:r>
        <w:rPr/>
        <w:t>Until the requirements of subdivision (c) have been satisfied, short run avoided cost energy payments paid to nonutility power generators by an electrical corporation shall be based on a formula that reflects a starting energy price, adjusted monthly to reflect changes in a starting gas index price in relation to an average of current California natural gas border price indices.  Pub. Util. Code, § 390, subd. (b).</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5" w:start="720" w:end="720"/>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05" w:end="0"/>
        <w:rPr>
          <w:sz w:val="24"/>
        </w:rPr>
      </w:pPr>
      <w:r>
        <w:rPr>
          <w:sz w:val="24"/>
        </w:rPr>
        <w:t>A price cap of $67.45 or any other price cap which someone may conjure up is inconsistent with the law.</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05" w:end="0"/>
        <w:rPr/>
      </w:pPr>
      <w:r>
        <w:rPr>
          <w:sz w:val="24"/>
        </w:rPr>
        <w:t xml:space="preserve">Additionally, the CPUC order violates Section 210(e) of PURPA because, by setting QF rates at less than avoided costs, including through imposition of a cap, such action constitutes unlawful state rate regulation of QFs, barred under PURPA.  See </w:t>
      </w:r>
      <w:r>
        <w:rPr>
          <w:i/>
          <w:iCs/>
          <w:sz w:val="24"/>
        </w:rPr>
        <w:t xml:space="preserve">Independent Energy Producers Ass’n </w:t>
      </w:r>
      <w:r>
        <w:rPr>
          <w:sz w:val="24"/>
        </w:rPr>
        <w:t xml:space="preserve">v. </w:t>
      </w:r>
      <w:r>
        <w:rPr>
          <w:i/>
          <w:iCs/>
          <w:sz w:val="24"/>
        </w:rPr>
        <w:t>CPUC</w:t>
      </w:r>
      <w:r>
        <w:rPr>
          <w:sz w:val="24"/>
        </w:rPr>
        <w:t xml:space="preserve"> (9th Cir. 1994) 36 F.3d 848; also </w:t>
      </w:r>
      <w:r>
        <w:rPr>
          <w:i/>
          <w:iCs/>
          <w:sz w:val="24"/>
        </w:rPr>
        <w:t xml:space="preserve">Freehold Cogeneration Associates, L.P. </w:t>
      </w:r>
      <w:r>
        <w:rPr>
          <w:sz w:val="24"/>
        </w:rPr>
        <w:t xml:space="preserve">v. </w:t>
      </w:r>
      <w:r>
        <w:rPr>
          <w:i/>
          <w:iCs/>
          <w:sz w:val="24"/>
        </w:rPr>
        <w:t>Board of Regulatory Commission of the State of New Jersey</w:t>
      </w:r>
      <w:r>
        <w:rPr>
          <w:sz w:val="24"/>
        </w:rPr>
        <w:t xml:space="preserve"> (3d Cir. 1995) 44 F.3d 1178.</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05" w:end="0"/>
        <w:rPr/>
      </w:pPr>
      <w:r>
        <w:rPr>
          <w:sz w:val="24"/>
        </w:rPr>
        <w:t xml:space="preserve">The </w:t>
      </w:r>
      <w:r>
        <w:rPr>
          <w:b/>
          <w:sz w:val="24"/>
        </w:rPr>
        <w:t>specific</w:t>
      </w:r>
      <w:r>
        <w:rPr>
          <w:sz w:val="24"/>
        </w:rPr>
        <w:t xml:space="preserve"> proposed price cap is </w:t>
      </w:r>
      <w:r>
        <w:rPr>
          <w:sz w:val="24"/>
          <w:u w:val="single"/>
        </w:rPr>
        <w:t xml:space="preserve">irrational </w:t>
      </w:r>
      <w:r>
        <w:rPr>
          <w:sz w:val="24"/>
        </w:rPr>
        <w:t xml:space="preserve">because it does not relate in any way to short-run avoided energy costs and missapplies the source document upon which it is based.  The Draft Decision cites the FERC’s December 15 </w:t>
      </w:r>
      <w:r>
        <w:rPr>
          <w:i/>
          <w:iCs/>
          <w:sz w:val="24"/>
        </w:rPr>
        <w:t xml:space="preserve">Order Directing Remedies For California Wholesale Electric Markets </w:t>
      </w:r>
      <w:r>
        <w:rPr>
          <w:sz w:val="24"/>
        </w:rPr>
        <w:t>(93 FERC ¶ 61,294, hereafter referred to as the “FERC Order” or “December 15 Order”)</w:t>
      </w:r>
      <w:r>
        <w:rPr>
          <w:rFonts w:cs="TimesNewRoman" w:ascii="TimesNewRoman" w:hAnsi="TimesNewRoman"/>
          <w:sz w:val="24"/>
        </w:rPr>
        <w:t xml:space="preserve"> </w:t>
      </w:r>
      <w:r>
        <w:rPr>
          <w:sz w:val="24"/>
        </w:rPr>
        <w:t>as the source of its unilateral price cap.  Draft Decision at 22.  There is no effort whatsoever to show how this number could possibly reflect the utility’s avoided cost; and no such attempt could be made successfully.</w:t>
      </w:r>
    </w:p>
    <w:p>
      <w:pPr>
        <w:pStyle w:val="Normal"/>
        <w:widowControl w:val="false"/>
        <w:spacing w:lineRule="auto" w:line="480"/>
        <w:ind w:firstLine="720" w:end="0"/>
        <w:rPr/>
      </w:pPr>
      <w:r>
        <w:rPr>
          <w:sz w:val="24"/>
        </w:rPr>
        <w:t xml:space="preserve">In the first place, the Draft Decision takes a price target suggested by FERC in a discussion regarding the need to move utility commodity procurement out of the spot markets—as mandated by the CPUC—and into longer term forward purchasing arrangements.  The price figure suggested is meant to encourage a </w:t>
      </w:r>
      <w:r>
        <w:rPr>
          <w:iCs/>
          <w:sz w:val="24"/>
        </w:rPr>
        <w:t>per se</w:t>
      </w:r>
      <w:r>
        <w:rPr>
          <w:sz w:val="24"/>
        </w:rPr>
        <w:t xml:space="preserve"> reasonable target price </w:t>
      </w:r>
      <w:r>
        <w:rPr>
          <w:b/>
          <w:sz w:val="24"/>
        </w:rPr>
        <w:t>for 5-year contracts</w:t>
      </w:r>
      <w:r>
        <w:rPr>
          <w:sz w:val="24"/>
        </w:rPr>
        <w:t xml:space="preserve">.  Furthermore, footnote 14 of the Draft Decision at page 22 states, “...the $67.45/MWh figure is derived </w:t>
      </w:r>
      <w:r>
        <w:rPr>
          <w:b/>
          <w:i/>
          <w:sz w:val="24"/>
        </w:rPr>
        <w:t>by dividing generation related revenue requirement by sales, and therefore reflects generation costs prior to restructuring....</w:t>
      </w:r>
      <w:r>
        <w:rPr>
          <w:i/>
          <w:sz w:val="24"/>
        </w:rPr>
        <w:t xml:space="preserve">” </w:t>
      </w:r>
      <w:r>
        <w:rPr>
          <w:sz w:val="24"/>
        </w:rPr>
        <w:t xml:space="preserve"> Therefore, by its own admission, the Draft Decision recognizes that: (1) this figure is purported to be a system average of utility generation cost; and (2) these are pre-restructuring costs, not “current” costs.  System average costs are not the utility’s “avoided cost” and 1996 costs (assuming for the sake of argument that the pre-restructuring rates were actually tied to recently determined costs) are not utility costs in 2001.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Second, even assuming that an inapposite long-term value of power were to be used, the Draft Decision selects the wrong benchmark.  The target figure actually found in the FERC Order is $74/Mwh:</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rPr/>
      </w:pPr>
      <w:r>
        <w:rPr>
          <w:sz w:val="24"/>
        </w:rPr>
        <w:t xml:space="preserve">While we do not have jurisdiction over retail rates, it is our view that </w:t>
      </w:r>
      <w:r>
        <w:rPr>
          <w:b/>
          <w:sz w:val="24"/>
        </w:rPr>
        <w:t>five-year contracts for supply around-the clock executed at or below $74/Mwh can be deemed prudent</w:t>
      </w:r>
      <w:r>
        <w:rPr>
          <w:sz w:val="24"/>
        </w:rPr>
        <w:t>.  FERC Order at 27.  Emphasis added.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Hence, there is nothing whatsoever in the record of this case—either from parties’ filings or from the clever attempt to bring in a figure by official notice—which supports the concept that SRAC can be “capped” and yet comply with Section 390(b) or the Public Utility Regulatory Policies Act of 1978 (PURPA).  Indeed, what is clear is that the capping concept is illegal and irrational.</w:t>
      </w:r>
    </w:p>
    <w:p>
      <w:pPr>
        <w:pStyle w:val="Normal"/>
        <w:widowControl w:val="false"/>
        <w:tabs>
          <w:tab w:val="clear" w:pos="720"/>
          <w:tab w:val="left" w:pos="708" w:leader="none"/>
          <w:tab w:val="left" w:pos="1440" w:leader="none"/>
          <w:tab w:val="left" w:pos="2868" w:leader="none"/>
          <w:tab w:val="left" w:pos="3588" w:leader="none"/>
          <w:tab w:val="left" w:pos="4308" w:leader="none"/>
          <w:tab w:val="left" w:pos="5028" w:leader="none"/>
          <w:tab w:val="left" w:pos="5748" w:leader="none"/>
          <w:tab w:val="left" w:pos="6468" w:leader="none"/>
          <w:tab w:val="left" w:pos="7188" w:leader="none"/>
        </w:tabs>
        <w:spacing w:lineRule="auto" w:line="480"/>
        <w:ind w:start="720" w:end="0"/>
        <w:rPr>
          <w:b/>
          <w:sz w:val="24"/>
        </w:rPr>
      </w:pPr>
      <w:r>
        <w:rPr>
          <w:b/>
          <w:sz w:val="24"/>
        </w:rPr>
        <w:t>B.</w:t>
        <w:tab/>
      </w:r>
      <w:r>
        <w:rPr>
          <w:b/>
          <w:sz w:val="24"/>
          <w:u w:val="single"/>
        </w:rPr>
        <w:t>The Draft Decision Grossly Mischaracterizes The FERC Order.</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 xml:space="preserve">In an apparent attempt to link its arbitrary SRAC cap with PURPA, the Draft Decision implies that any price above that cap would not be just and reasonable, and therefore cannot be used as SRAC.  Draft Decision at 22.  This implication rests upon a complete misapprehension of FERC’s position regarding the market pricing which has occurred in California as well the purpose of the “benchmark” pricing mechanism.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b/>
          <w:sz w:val="24"/>
        </w:rPr>
      </w:pPr>
      <w:r>
        <w:rPr>
          <w:sz w:val="24"/>
        </w:rPr>
        <w:t>FERC has objected to characterizations of its orders in which parties, apparently including the Draft Decision, attempt to assert that the markets have not produced just and reasonable rates.  The December 15 Order, upon which the Draft Decision tries to hang its hat, specifically states: “we note that the November 1 Order did not find that all rates, at all times, were unjust and unreasonable in these spot markets.”  December 15 Order at 33.  Moreover, it established a $150/MWh “breakpoint” for spot market sales into the CalPX and CAISO markets, allowing for sales above that amount with documentation.  While the sales are subject to refund, there is no “hard cap” in place in the wholesale market, and therefore none can be unilaterally imposed by the CPUC upon QFs consistent with Section 390(b).</w:t>
      </w:r>
    </w:p>
    <w:p>
      <w:pPr>
        <w:pStyle w:val="Normal"/>
        <w:widowControl w:val="false"/>
        <w:tabs>
          <w:tab w:val="clear" w:pos="720"/>
          <w:tab w:val="left" w:pos="708" w:leader="none"/>
          <w:tab w:val="left" w:pos="142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s>
        <w:spacing w:lineRule="auto" w:line="480"/>
        <w:ind w:hanging="732" w:start="1452" w:end="0"/>
        <w:rPr>
          <w:b/>
          <w:sz w:val="24"/>
        </w:rPr>
      </w:pPr>
      <w:r>
        <w:rPr>
          <w:b/>
          <w:sz w:val="24"/>
        </w:rPr>
        <w:t>C.</w:t>
        <w:tab/>
      </w:r>
      <w:r>
        <w:rPr>
          <w:b/>
          <w:sz w:val="24"/>
          <w:u w:val="single"/>
        </w:rPr>
        <w:t>The Draft Decision Violates Due Process.</w:t>
      </w:r>
    </w:p>
    <w:p>
      <w:pPr>
        <w:pStyle w:val="Normal"/>
        <w:widowControl w:val="false"/>
        <w:tabs>
          <w:tab w:val="clear" w:pos="720"/>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s>
        <w:spacing w:lineRule="auto" w:line="480"/>
        <w:ind w:firstLine="720" w:end="0"/>
        <w:rPr>
          <w:sz w:val="24"/>
        </w:rPr>
      </w:pPr>
      <w:r>
        <w:rPr>
          <w:sz w:val="24"/>
        </w:rPr>
        <w:t xml:space="preserve">As the Draft Decision (at 10) notes, Section 1708 provides that the Commission may “‘rescind, alter, or amend any order or decision made by it’ after an opportunity to be heard.”  What the Draft Decision omits to do is correctly complete the provisions of Section 1708 which provides in its entirety: </w:t>
      </w:r>
    </w:p>
    <w:p>
      <w:pPr>
        <w:pStyle w:val="Normal"/>
        <w:widowControl w:val="false"/>
        <w:tabs>
          <w:tab w:val="clear" w:pos="720"/>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s>
        <w:ind w:start="720" w:end="720"/>
        <w:rPr/>
      </w:pPr>
      <w:r>
        <w:rPr>
          <w:bCs/>
          <w:sz w:val="24"/>
        </w:rPr>
        <w:t xml:space="preserve">The commission may at any time, upon notice to the parties, </w:t>
      </w:r>
      <w:r>
        <w:rPr>
          <w:bCs/>
          <w:sz w:val="24"/>
          <w:u w:val="single"/>
        </w:rPr>
        <w:t xml:space="preserve">and with opportunity to be heard as provided in the case of complaints, </w:t>
      </w:r>
      <w:r>
        <w:rPr>
          <w:bCs/>
          <w:sz w:val="24"/>
        </w:rPr>
        <w:t>rescind, alter, or amend any order or decision made by it.  Any order rescinding, altering, or amending a prior order or decision shall, when served upon the parties, have the same effect as an original order or decision.”  Pub. Util. Code, § 1708.  Emphasis added.</w:t>
      </w:r>
    </w:p>
    <w:p>
      <w:pPr>
        <w:pStyle w:val="Normal"/>
        <w:widowControl w:val="false"/>
        <w:tabs>
          <w:tab w:val="clear" w:pos="720"/>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s>
        <w:ind w:firstLine="720" w:end="0"/>
        <w:rPr>
          <w:bCs/>
          <w:sz w:val="24"/>
        </w:rPr>
      </w:pPr>
      <w:r>
        <w:rPr>
          <w:bCs/>
          <w:sz w:val="24"/>
        </w:rPr>
      </w:r>
    </w:p>
    <w:p>
      <w:pPr>
        <w:pStyle w:val="Normal"/>
        <w:widowControl w:val="false"/>
        <w:tabs>
          <w:tab w:val="clear" w:pos="720"/>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s>
        <w:spacing w:lineRule="auto" w:line="480"/>
        <w:ind w:firstLine="720" w:end="0"/>
        <w:rPr/>
      </w:pPr>
      <w:r>
        <w:rPr>
          <w:sz w:val="24"/>
        </w:rPr>
        <w:t xml:space="preserve">Omission of the indication that the opportunity to be heard is "...as provided in the case of complaints" is critical.  </w:t>
      </w:r>
      <w:r>
        <w:rPr>
          <w:i/>
          <w:sz w:val="24"/>
        </w:rPr>
        <w:t xml:space="preserve">California Trucking Assn. </w:t>
      </w:r>
      <w:r>
        <w:rPr>
          <w:sz w:val="24"/>
        </w:rPr>
        <w:t>v.</w:t>
      </w:r>
      <w:r>
        <w:rPr>
          <w:i/>
          <w:sz w:val="24"/>
        </w:rPr>
        <w:t xml:space="preserve"> Public Utilities Comm. </w:t>
      </w:r>
      <w:r>
        <w:rPr>
          <w:sz w:val="24"/>
        </w:rPr>
        <w:t>(1977) 19 Cal.3</w:t>
      </w:r>
      <w:r>
        <w:rPr>
          <w:sz w:val="24"/>
          <w:vertAlign w:val="superscript"/>
        </w:rPr>
        <w:t>rd</w:t>
      </w:r>
      <w:r>
        <w:rPr>
          <w:sz w:val="24"/>
        </w:rPr>
        <w:t xml:space="preserve"> 240 makes clear that the import of this provision includes the opportunity for evidentiary hearings where appropriate.  In this instance, the Draft Decision (at 10 and at COL 5) proposes to avoid evidentiary hearings based on its incredible conclusion that “[p]arties have not identified disputed facts.”   By its own terms, the Draft Decision is based on “...the possibility of market abuse on the El Paso pipeline combined with reduced liquidity in the Topock market.”  Draft Decision at 18.  Both of these issues are highly contested, and indeed the primary predicate regarding potential market abuse is in current litigation before the FERC.  FERC Docket RP00-241, filed April 3, 2000.  It is not IEP’s understanding that the participants in that proceeding have stipulated to market abuse.</w:t>
      </w:r>
    </w:p>
    <w:p>
      <w:pPr>
        <w:pStyle w:val="Normal"/>
        <w:widowControl w:val="false"/>
        <w:tabs>
          <w:tab w:val="clear" w:pos="720"/>
          <w:tab w:val="left" w:pos="70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s>
        <w:spacing w:lineRule="auto" w:line="480"/>
        <w:ind w:firstLine="720" w:end="0"/>
        <w:rPr>
          <w:sz w:val="24"/>
        </w:rPr>
      </w:pPr>
      <w:r>
        <w:rPr>
          <w:sz w:val="24"/>
        </w:rPr>
        <w:t>IEP reiterates its prior request for evidentiary hearings on the issues involved here.  The Commission’s “discretion” to rescind, alter or amend its orders and decisions is not unfettered.</w:t>
      </w:r>
    </w:p>
    <w:p>
      <w:pPr>
        <w:pStyle w:val="Heading1"/>
        <w:keepLines/>
        <w:ind w:hanging="734" w:start="1440" w:end="0"/>
        <w:jc w:val="start"/>
        <w:rPr>
          <w:b/>
          <w:bCs/>
        </w:rPr>
      </w:pPr>
      <w:r>
        <w:rPr>
          <w:b/>
          <w:bCs/>
        </w:rPr>
        <w:t>D.</w:t>
        <w:tab/>
      </w:r>
      <w:r>
        <w:rPr>
          <w:b/>
          <w:bCs/>
          <w:u w:val="single"/>
        </w:rPr>
        <w:t xml:space="preserve">The Draft Decision Errs By </w:t>
      </w:r>
      <w:r>
        <w:rPr>
          <w:b/>
          <w:bCs/>
          <w:i/>
          <w:iCs/>
          <w:u w:val="single"/>
        </w:rPr>
        <w:t>de facto</w:t>
      </w:r>
      <w:r>
        <w:rPr>
          <w:b/>
          <w:bCs/>
          <w:u w:val="single"/>
        </w:rPr>
        <w:t xml:space="preserve"> Granting PG&amp;E’s Emergency Motion, In Part.</w:t>
      </w:r>
    </w:p>
    <w:p>
      <w:pPr>
        <w:pStyle w:val="Normal"/>
        <w:rPr>
          <w:b/>
          <w:bCs/>
          <w:sz w:val="24"/>
        </w:rPr>
      </w:pPr>
      <w:r>
        <w:rPr>
          <w:b/>
          <w:bCs/>
          <w:sz w:val="24"/>
        </w:rPr>
      </w:r>
    </w:p>
    <w:p>
      <w:pPr>
        <w:pStyle w:val="BodyTextIndent2"/>
        <w:rPr/>
      </w:pPr>
      <w:r>
        <w:rPr/>
        <w:t xml:space="preserve">PG&amp;E’s January 10 Emergency Motion requests (1) that the CPUC suspend the right to switch to market-based energy prices, (2) “return” entities that have elected this pricing option to Transition Formula SRAC, and (3) “true-up” the market-based prices by limiting them the lower of Transition Formula SRAC or the $67.45/MWh cap.  While IEP will answer in opposition to the Emergency Motion on January 24, 2001, we make two comments at this time.  </w:t>
      </w:r>
    </w:p>
    <w:p>
      <w:pPr>
        <w:pStyle w:val="Normal"/>
        <w:spacing w:lineRule="auto" w:line="480"/>
        <w:ind w:firstLine="706" w:end="0"/>
        <w:rPr/>
      </w:pPr>
      <w:r>
        <w:rPr>
          <w:sz w:val="24"/>
        </w:rPr>
        <w:t>First, the argument that the FERC December 15 Order makes unworkable Section 390(c) is premature at best.  CalPX has filed both for rehearing on this issue, and has pursued court action on this very issue.</w:t>
      </w:r>
      <w:r>
        <w:rPr>
          <w:rStyle w:val="FootnoteCharacters"/>
          <w:rStyle w:val="FootnoteReference"/>
          <w:sz w:val="24"/>
        </w:rPr>
        <w:footnoteReference w:id="2"/>
      </w:r>
      <w:r>
        <w:rPr>
          <w:sz w:val="24"/>
        </w:rPr>
        <w:t xml:space="preserve">   Moreover, FERC’s</w:t>
      </w:r>
      <w:r>
        <w:rPr>
          <w:i/>
          <w:iCs/>
          <w:sz w:val="24"/>
          <w:szCs w:val="26"/>
        </w:rPr>
        <w:t xml:space="preserve"> Order Clarifying Order Directing Remedies For California Wholesale Electric Markets,</w:t>
      </w:r>
      <w:r>
        <w:rPr>
          <w:sz w:val="24"/>
        </w:rPr>
        <w:t xml:space="preserve"> dated January 8, 2001</w:t>
      </w:r>
      <w:r>
        <w:rPr>
          <w:rStyle w:val="FootnoteCharacters"/>
          <w:rStyle w:val="FootnoteReference"/>
          <w:sz w:val="24"/>
        </w:rPr>
        <w:footnoteReference w:id="3"/>
      </w:r>
      <w:r>
        <w:rPr>
          <w:sz w:val="24"/>
        </w:rPr>
        <w:t xml:space="preserve">, states: </w:t>
      </w:r>
    </w:p>
    <w:p>
      <w:pPr>
        <w:pStyle w:val="doubleindent"/>
        <w:rPr/>
      </w:pPr>
      <w:r>
        <w:rPr/>
        <w:t>The December 15 Order stated, however, that these tariffs may be reinstituted at a later time depending on "the willingness [of the California Commission] to remove its mandatory requirement and to develop prudence benchmarks for bilateral purchases, or other changed circumstances."  (Slip op at 2.)</w:t>
      </w:r>
    </w:p>
    <w:p>
      <w:pPr>
        <w:pStyle w:val="Normal"/>
        <w:rPr>
          <w:sz w:val="24"/>
        </w:rPr>
      </w:pPr>
      <w:r>
        <w:rPr>
          <w:sz w:val="24"/>
        </w:rPr>
      </w:r>
    </w:p>
    <w:p>
      <w:pPr>
        <w:pStyle w:val="Normal"/>
        <w:widowControl w:val="false"/>
        <w:tabs>
          <w:tab w:val="clear" w:pos="720"/>
          <w:tab w:val="left" w:pos="70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s>
        <w:spacing w:lineRule="auto" w:line="480"/>
        <w:ind w:firstLine="720" w:end="0"/>
        <w:rPr>
          <w:sz w:val="24"/>
        </w:rPr>
      </w:pPr>
      <w:r>
        <w:rPr>
          <w:sz w:val="24"/>
        </w:rPr>
        <w:t xml:space="preserve">This passage makes clear that the death of the California Power Exchange, and therefore §390(c), is greatly exaggerated.  </w:t>
      </w:r>
    </w:p>
    <w:p>
      <w:pPr>
        <w:pStyle w:val="Normal"/>
        <w:widowControl w:val="false"/>
        <w:tabs>
          <w:tab w:val="clear" w:pos="720"/>
          <w:tab w:val="left" w:pos="708" w:leader="none"/>
          <w:tab w:val="left" w:pos="2148" w:leader="none"/>
          <w:tab w:val="left" w:pos="2868" w:leader="none"/>
          <w:tab w:val="left" w:pos="3588" w:leader="none"/>
          <w:tab w:val="left" w:pos="4308" w:leader="none"/>
          <w:tab w:val="left" w:pos="5028" w:leader="none"/>
          <w:tab w:val="left" w:pos="5748" w:leader="none"/>
          <w:tab w:val="left" w:pos="6468" w:leader="none"/>
          <w:tab w:val="left" w:pos="7188" w:leader="none"/>
        </w:tabs>
        <w:spacing w:lineRule="auto" w:line="480"/>
        <w:ind w:firstLine="720" w:end="0"/>
        <w:rPr>
          <w:b/>
          <w:sz w:val="24"/>
        </w:rPr>
      </w:pPr>
      <w:r>
        <w:rPr>
          <w:sz w:val="24"/>
        </w:rPr>
        <w:t>Second, the election to switch from Transition Formula SRAC pricing to PX-based pricing is a statutory right, and a moratorium on such by regulatory fiat is simply illegal.</w:t>
      </w:r>
      <w:r>
        <w:br w:type="page"/>
      </w:r>
    </w:p>
    <w:p>
      <w:pPr>
        <w:pStyle w:val="Normal"/>
        <w:widowControl w:val="false"/>
        <w:tabs>
          <w:tab w:val="clear" w:pos="720"/>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720" w:end="0"/>
        <w:rPr/>
      </w:pPr>
      <w:r>
        <w:rPr>
          <w:b/>
          <w:sz w:val="24"/>
        </w:rPr>
        <w:t>E.</w:t>
        <w:tab/>
      </w:r>
      <w:r>
        <w:rPr>
          <w:b/>
          <w:sz w:val="24"/>
          <w:u w:val="single"/>
        </w:rPr>
        <w:t>Conclusion</w:t>
      </w:r>
    </w:p>
    <w:p>
      <w:pPr>
        <w:pStyle w:val="Normal"/>
        <w:widowControl w:val="false"/>
        <w:tabs>
          <w:tab w:val="clear" w:pos="720"/>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720" w:end="0"/>
        <w:rPr>
          <w:b/>
          <w:sz w:val="24"/>
          <w:u w:val="single"/>
        </w:rPr>
      </w:pPr>
      <w:r>
        <w:rPr>
          <w:b/>
          <w:sz w:val="24"/>
          <w:u w:val="single"/>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09" w:end="0"/>
        <w:rPr>
          <w:sz w:val="24"/>
        </w:rPr>
      </w:pPr>
      <w:r>
        <w:rPr>
          <w:sz w:val="24"/>
        </w:rPr>
        <w:t>For the reasons provided herein, the Independent Energy Producers Association urges the Commission to reject the imposition of an “SRAC cap.”  Such a concept is illegal and ill-conceived.  Imposition of such a cap will have a disastrous impact on California’s already tight electricity supply.  Moreover, such an approach is inconsistent with the Commission’s QF pricing policies that are founded on a valid measure of the utility’s avoided cost of energy.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uto" w:line="480"/>
        <w:ind w:hanging="2160" w:start="2160" w:end="0"/>
        <w:jc w:val="both"/>
        <w:rPr>
          <w:sz w:val="24"/>
        </w:rPr>
      </w:pPr>
      <w:r>
        <w:rPr>
          <w:sz w:val="24"/>
        </w:rPr>
        <w:t>Dated:  January 16, 2001</w:t>
        <w:tab/>
        <w:tab/>
        <w:tab/>
        <w:t>Respectfully submitted,</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7200" w:leader="none"/>
          <w:tab w:val="center" w:pos="7920" w:leader="none"/>
          <w:tab w:val="center" w:pos="8640" w:leader="none"/>
        </w:tabs>
        <w:rPr>
          <w:sz w:val="24"/>
        </w:rPr>
      </w:pPr>
      <w:r>
        <w:rPr>
          <w:sz w:val="24"/>
        </w:rPr>
        <w:tab/>
        <w:tab/>
        <w:tab/>
        <w:tab/>
        <w:tab/>
        <w:tab/>
        <w:t>By ________________________________</w:t>
      </w:r>
    </w:p>
    <w:p>
      <w:pPr>
        <w:pStyle w:val="Normal"/>
        <w:widowControl w:val="false"/>
        <w:tabs>
          <w:tab w:val="left" w:pos="720" w:leader="none"/>
          <w:tab w:val="center" w:pos="4320" w:leader="none"/>
          <w:tab w:val="center" w:pos="5040" w:leader="none"/>
        </w:tabs>
        <w:ind w:start="4320" w:end="0"/>
        <w:rPr>
          <w:sz w:val="24"/>
        </w:rPr>
      </w:pPr>
      <w:r>
        <w:rPr>
          <w:sz w:val="24"/>
        </w:rPr>
        <w:t>Andrew B. Brown</w:t>
      </w:r>
    </w:p>
    <w:p>
      <w:pPr>
        <w:pStyle w:val="Normal"/>
        <w:widowControl w:val="false"/>
        <w:tabs>
          <w:tab w:val="left" w:pos="720" w:leader="none"/>
          <w:tab w:val="center" w:pos="4320" w:leader="none"/>
          <w:tab w:val="center" w:pos="5040" w:leader="none"/>
        </w:tabs>
        <w:ind w:start="4320" w:end="0"/>
        <w:rPr>
          <w:sz w:val="24"/>
        </w:rPr>
      </w:pPr>
      <w:r>
        <w:rPr>
          <w:sz w:val="24"/>
        </w:rPr>
        <w:t>Douglas K. Kerner, of Counsel</w:t>
      </w:r>
    </w:p>
    <w:p>
      <w:pPr>
        <w:pStyle w:val="Normal"/>
        <w:widowControl w:val="false"/>
        <w:tabs>
          <w:tab w:val="left" w:pos="720" w:leader="none"/>
          <w:tab w:val="left" w:pos="1440" w:leader="none"/>
          <w:tab w:val="left" w:pos="2160" w:leader="none"/>
          <w:tab w:val="left" w:pos="2880" w:leader="none"/>
          <w:tab w:val="center" w:pos="4320" w:leader="none"/>
          <w:tab w:val="center" w:pos="7200" w:leader="none"/>
          <w:tab w:val="center" w:pos="7920" w:leader="none"/>
          <w:tab w:val="center" w:pos="8640" w:leader="none"/>
        </w:tabs>
        <w:ind w:start="4320" w:end="0"/>
        <w:rPr>
          <w:sz w:val="24"/>
        </w:rPr>
      </w:pPr>
      <w:r>
        <w:rPr>
          <w:sz w:val="24"/>
        </w:rPr>
      </w:r>
    </w:p>
    <w:p>
      <w:pPr>
        <w:pStyle w:val="Normal"/>
        <w:widowControl w:val="false"/>
        <w:tabs>
          <w:tab w:val="clear" w:pos="720"/>
          <w:tab w:val="center" w:pos="2880" w:leader="none"/>
          <w:tab w:val="center" w:pos="4320" w:leader="none"/>
        </w:tabs>
        <w:ind w:start="4320" w:end="0"/>
        <w:rPr>
          <w:sz w:val="24"/>
        </w:rPr>
      </w:pPr>
      <w:r>
        <w:rPr>
          <w:sz w:val="24"/>
        </w:rPr>
        <w:t>ELLISON, SCHNEIDER &amp; HARRIS, LLP</w:t>
      </w:r>
    </w:p>
    <w:p>
      <w:pPr>
        <w:pStyle w:val="Heading2"/>
        <w:rPr/>
      </w:pPr>
      <w:r>
        <w:rPr/>
        <w:t>2015 H Street</w:t>
      </w:r>
    </w:p>
    <w:p>
      <w:pPr>
        <w:pStyle w:val="Normal"/>
        <w:widowControl w:val="false"/>
        <w:tabs>
          <w:tab w:val="left" w:pos="720" w:leader="none"/>
          <w:tab w:val="left" w:pos="1440" w:leader="none"/>
          <w:tab w:val="left" w:pos="2160" w:leader="none"/>
          <w:tab w:val="left" w:pos="2880" w:leader="none"/>
          <w:tab w:val="center" w:pos="4320" w:leader="none"/>
          <w:tab w:val="center" w:pos="7200" w:leader="none"/>
          <w:tab w:val="center" w:pos="7920" w:leader="none"/>
          <w:tab w:val="center" w:pos="8640" w:leader="none"/>
        </w:tabs>
        <w:ind w:start="4320" w:end="0"/>
        <w:rPr>
          <w:sz w:val="24"/>
        </w:rPr>
      </w:pPr>
      <w:r>
        <w:rPr>
          <w:sz w:val="24"/>
        </w:rPr>
        <w:t>Sacramento, CA  95814-3109</w:t>
      </w:r>
    </w:p>
    <w:p>
      <w:pPr>
        <w:pStyle w:val="Normal"/>
        <w:widowControl w:val="false"/>
        <w:tabs>
          <w:tab w:val="left" w:pos="720" w:leader="none"/>
          <w:tab w:val="left" w:pos="1440" w:leader="none"/>
          <w:tab w:val="left" w:pos="2160" w:leader="none"/>
          <w:tab w:val="left" w:pos="2880" w:leader="none"/>
          <w:tab w:val="center" w:pos="4320" w:leader="none"/>
          <w:tab w:val="center" w:pos="7200" w:leader="none"/>
          <w:tab w:val="center" w:pos="7920" w:leader="none"/>
          <w:tab w:val="center" w:pos="8640" w:leader="none"/>
        </w:tabs>
        <w:ind w:start="4320" w:end="0"/>
        <w:rPr>
          <w:sz w:val="24"/>
        </w:rPr>
      </w:pPr>
      <w:r>
        <w:rPr>
          <w:sz w:val="24"/>
        </w:rPr>
        <w:t>Telephone:  (916) 447-2166</w:t>
      </w:r>
    </w:p>
    <w:p>
      <w:pPr>
        <w:pStyle w:val="Normal"/>
        <w:widowControl w:val="false"/>
        <w:tabs>
          <w:tab w:val="clear" w:pos="720"/>
          <w:tab w:val="center" w:pos="2880" w:leader="none"/>
          <w:tab w:val="center" w:pos="4320" w:leader="none"/>
        </w:tabs>
        <w:ind w:start="4320" w:end="0"/>
        <w:rPr>
          <w:sz w:val="24"/>
        </w:rPr>
      </w:pPr>
      <w:r>
        <w:rPr>
          <w:sz w:val="24"/>
        </w:rPr>
        <w:t>Email: abb@eslawfirm.com</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center" w:pos="7200" w:leader="none"/>
          <w:tab w:val="center" w:pos="7920" w:leader="none"/>
          <w:tab w:val="center" w:pos="8640" w:leader="none"/>
        </w:tabs>
        <w:rPr>
          <w:sz w:val="24"/>
        </w:rPr>
      </w:pPr>
      <w:r>
        <w:rPr>
          <w:sz w:val="24"/>
        </w:rPr>
      </w:r>
    </w:p>
    <w:p>
      <w:pPr>
        <w:pStyle w:val="Normal"/>
        <w:widowControl w:val="false"/>
        <w:tabs>
          <w:tab w:val="clear" w:pos="720"/>
          <w:tab w:val="center" w:pos="2880" w:leader="none"/>
          <w:tab w:val="center" w:pos="3600" w:leader="none"/>
          <w:tab w:val="center" w:pos="4320" w:leader="none"/>
        </w:tabs>
        <w:ind w:start="4320" w:end="0"/>
        <w:rPr>
          <w:sz w:val="24"/>
        </w:rPr>
      </w:pPr>
      <w:r>
        <w:rPr>
          <w:sz w:val="24"/>
        </w:rPr>
        <w:t>Attorneys for the Independent Energy Producers Association</w:t>
      </w:r>
    </w:p>
    <w:sectPr>
      <w:footerReference w:type="default" r:id="rId2"/>
      <w:footerReference w:type="first" r:id="rId3"/>
      <w:footnotePr>
        <w:numFmt w:val="decimal"/>
      </w:footnotePr>
      <w:type w:val="nextPage"/>
      <w:pgSz w:w="12240" w:h="15840"/>
      <w:pgMar w:left="1440" w:right="144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See, e.g., CalPX’s Ninth Circuit Court of Appeals case.  Information is available at </w:t>
      </w:r>
      <w:hyperlink r:id="rId1">
        <w:r>
          <w:rPr>
            <w:rStyle w:val="Hyperlink"/>
          </w:rPr>
          <w:t>www.calpx.com</w:t>
        </w:r>
      </w:hyperlink>
      <w:r>
        <w:rPr/>
        <w:t xml:space="preserve">.  Oral argument is currently scheduled in February.  </w:t>
      </w:r>
    </w:p>
  </w:footnote>
  <w:footnote w:id="3">
    <w:p>
      <w:pPr>
        <w:pStyle w:val="FootnoteText"/>
        <w:rPr/>
      </w:pPr>
      <w:r>
        <w:rPr>
          <w:rStyle w:val="FootnoteCharacters"/>
        </w:rPr>
        <w:footnoteRef/>
      </w:r>
      <w:r>
        <w:rPr/>
        <w:t xml:space="preserve"> </w:t>
      </w:r>
      <w:r>
        <w:rPr/>
        <w:t>This decision is available at http://cips.ferc.fed.us/Q\CIPS\WP\ELECTRIC\EL/EL00-95.0AI.WPD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jc w:val="center"/>
      <w:outlineLvl w:val="0"/>
    </w:pPr>
    <w:rPr>
      <w:sz w:val="24"/>
    </w:rPr>
  </w:style>
  <w:style w:type="paragraph" w:styleId="Heading2">
    <w:name w:val="heading 2"/>
    <w:basedOn w:val="Normal"/>
    <w:next w:val="Normal"/>
    <w:qFormat/>
    <w:pPr>
      <w:keepNext w:val="true"/>
      <w:widowControl w:val="false"/>
      <w:numPr>
        <w:ilvl w:val="1"/>
        <w:numId w:val="1"/>
      </w:numPr>
      <w:tabs>
        <w:tab w:val="left" w:pos="720" w:leader="none"/>
        <w:tab w:val="left" w:pos="1440" w:leader="none"/>
        <w:tab w:val="left" w:pos="2160" w:leader="none"/>
        <w:tab w:val="left" w:pos="2880" w:leader="none"/>
        <w:tab w:val="center" w:pos="4320" w:leader="none"/>
        <w:tab w:val="center" w:pos="7200" w:leader="none"/>
        <w:tab w:val="center" w:pos="7920" w:leader="none"/>
        <w:tab w:val="center" w:pos="8640" w:leader="none"/>
      </w:tabs>
      <w:ind w:hanging="0" w:start="4320" w:end="0"/>
      <w:outlineLvl w:val="1"/>
    </w:pPr>
    <w:rPr>
      <w:sz w:val="24"/>
    </w:rPr>
  </w:style>
  <w:style w:type="character" w:styleId="WW8Num1z0">
    <w:name w:val="WW8Num1z0"/>
    <w:qFormat/>
    <w:rPr>
      <w:u w:val="none"/>
    </w:rPr>
  </w:style>
  <w:style w:type="character" w:styleId="WW8Num2z0">
    <w:name w:val="WW8Num2z0"/>
    <w:qFormat/>
    <w:rPr>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center" w:pos="2880" w:leader="none"/>
        <w:tab w:val="center" w:pos="3600" w:leader="none"/>
      </w:tabs>
      <w:ind w:hanging="0" w:start="3600" w:end="0"/>
    </w:pPr>
    <w:rPr>
      <w:sz w:val="24"/>
    </w:rPr>
  </w:style>
  <w:style w:type="paragraph" w:styleId="BlockText">
    <w:name w:val="Block Text"/>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5" w:start="720" w:end="720"/>
    </w:pPr>
    <w:rPr>
      <w:sz w:val="24"/>
    </w:rPr>
  </w:style>
  <w:style w:type="paragraph" w:styleId="FootnoteText">
    <w:name w:val="footnote text"/>
    <w:basedOn w:val="Normal"/>
    <w:pPr/>
    <w:rPr/>
  </w:style>
  <w:style w:type="paragraph" w:styleId="doubleindent">
    <w:name w:val="double indent"/>
    <w:basedOn w:val="BodyTextIndent"/>
    <w:qFormat/>
    <w:pPr>
      <w:widowControl/>
      <w:tabs>
        <w:tab w:val="clear" w:pos="2880"/>
        <w:tab w:val="clear" w:pos="3600"/>
      </w:tabs>
      <w:ind w:hanging="0" w:start="710" w:end="769"/>
    </w:pPr>
    <w:rPr>
      <w:szCs w:val="26"/>
    </w:rPr>
  </w:style>
  <w:style w:type="paragraph" w:styleId="BodyTextIndent2">
    <w:name w:val="Body Text Indent 2"/>
    <w:basedOn w:val="Normal"/>
    <w:qFormat/>
    <w:pPr>
      <w:spacing w:lineRule="auto" w:line="480"/>
      <w:ind w:firstLine="706" w:start="0" w:end="0"/>
    </w:pPr>
    <w:rPr>
      <w:sz w:val="24"/>
    </w:rPr>
  </w:style>
  <w:style w:type="paragraph" w:styleId="BodyTextIndent3">
    <w:name w:val="Body Text Indent 3"/>
    <w:basedOn w:val="Normal"/>
    <w:qFormat/>
    <w:pPr>
      <w:spacing w:lineRule="atLeast" w:line="48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alpx.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2001-01-16T18:10:00Z</dcterms:created>
  <dc:creator>EricJ</dc:creator>
  <dc:description/>
  <dc:language>en-CA</dc:language>
  <cp:lastModifiedBy>EricJ</cp:lastModifiedBy>
  <cp:lastPrinted>2001-01-16T13:43:00Z</cp:lastPrinted>
  <dcterms:modified xsi:type="dcterms:W3CDTF">2001-01-16T18:11:00Z</dcterms:modified>
  <cp:revision>3</cp:revision>
  <dc:subject/>
  <dc:title>BEFORE THE PUBLIC UTILITIES COMMISSION OF THE STATE OF CALIFORNIA</dc:title>
</cp:coreProperties>
</file>