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BEFORE THE PUBLIC UTILITIES COMMISSION</w:t>
      </w:r>
    </w:p>
    <w:p>
      <w:pPr>
        <w:pStyle w:val="Normal"/>
        <w:bidi w:val="0"/>
        <w:ind w:hanging="0" w:start="0" w:end="0"/>
        <w:jc w:val="center"/>
        <w:rPr>
          <w:sz w:val="24"/>
        </w:rPr>
      </w:pPr>
      <w:r>
        <w:rPr>
          <w:b/>
          <w:sz w:val="24"/>
        </w:rPr>
        <w:t>OF THE STATE OF CALIFORNIA</w:t>
      </w:r>
    </w:p>
    <w:p>
      <w:pPr>
        <w:pStyle w:val="Normal"/>
        <w:bidi w:val="0"/>
        <w:ind w:hanging="0" w:start="0" w:end="0"/>
        <w:jc w:val="center"/>
        <w:rPr>
          <w:sz w:val="24"/>
        </w:rPr>
      </w:pPr>
      <w:r>
        <w:rPr>
          <w:sz w:val="24"/>
        </w:rPr>
      </w:r>
    </w:p>
    <w:tbl>
      <w:tblPr>
        <w:tblW w:w="8658" w:type="dxa"/>
        <w:jc w:val="start"/>
        <w:tblInd w:w="198" w:type="dxa"/>
        <w:tblLayout w:type="fixed"/>
        <w:tblCellMar>
          <w:top w:w="0" w:type="dxa"/>
          <w:start w:w="108" w:type="dxa"/>
          <w:bottom w:w="0" w:type="dxa"/>
          <w:end w:w="108" w:type="dxa"/>
        </w:tblCellMar>
      </w:tblPr>
      <w:tblGrid>
        <w:gridCol w:w="4769"/>
        <w:gridCol w:w="360"/>
        <w:gridCol w:w="3529"/>
      </w:tblGrid>
      <w:tr>
        <w:trPr>
          <w:cantSplit w:val="true"/>
        </w:trPr>
        <w:tc>
          <w:tcPr>
            <w:tcW w:w="4769" w:type="dxa"/>
            <w:tcBorders/>
          </w:tcPr>
          <w:p>
            <w:pPr>
              <w:pStyle w:val="Normal"/>
              <w:tabs>
                <w:tab w:val="clear" w:pos="720"/>
              </w:tabs>
              <w:bidi w:val="0"/>
              <w:ind w:hanging="0" w:start="0" w:end="0"/>
              <w:jc w:val="start"/>
              <w:rPr/>
            </w:pPr>
            <w:r>
              <w:rPr>
                <w:sz w:val="24"/>
              </w:rPr>
              <w:t>Order Instituting Rulemaking on the Commission’s Proposed Policies Governing Restructuring California’s Electric Services Industry and Reforming Regulation.</w:t>
            </w:r>
          </w:p>
        </w:tc>
        <w:tc>
          <w:tcPr>
            <w:tcW w:w="360" w:type="dxa"/>
            <w:tcBorders/>
          </w:tcPr>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pPr>
            <w:r>
              <w:rPr>
                <w:b/>
                <w:sz w:val="24"/>
              </w:rPr>
              <w:t>)</w:t>
            </w:r>
          </w:p>
        </w:tc>
        <w:tc>
          <w:tcPr>
            <w:tcW w:w="3529" w:type="dxa"/>
            <w:tcBorders/>
          </w:tcPr>
          <w:p>
            <w:pPr>
              <w:pStyle w:val="Normal"/>
              <w:tabs>
                <w:tab w:val="clear" w:pos="720"/>
              </w:tabs>
              <w:bidi w:val="0"/>
              <w:ind w:hanging="0" w:start="0" w:end="0"/>
              <w:jc w:val="center"/>
              <w:rPr>
                <w:sz w:val="24"/>
              </w:rPr>
            </w:pPr>
            <w:r>
              <w:rPr>
                <w:sz w:val="24"/>
              </w:rPr>
            </w:r>
          </w:p>
          <w:p>
            <w:pPr>
              <w:pStyle w:val="Normal"/>
              <w:tabs>
                <w:tab w:val="clear" w:pos="720"/>
              </w:tabs>
              <w:bidi w:val="0"/>
              <w:ind w:hanging="0" w:start="0" w:end="0"/>
              <w:jc w:val="center"/>
              <w:rPr>
                <w:sz w:val="24"/>
              </w:rPr>
            </w:pPr>
            <w:r>
              <w:rPr>
                <w:sz w:val="24"/>
              </w:rPr>
              <w:t>Rulemaking 94-04-031</w:t>
            </w:r>
          </w:p>
          <w:p>
            <w:pPr>
              <w:pStyle w:val="Normal"/>
              <w:tabs>
                <w:tab w:val="clear" w:pos="720"/>
              </w:tabs>
              <w:bidi w:val="0"/>
              <w:ind w:hanging="0" w:start="0" w:end="0"/>
              <w:jc w:val="center"/>
              <w:rPr/>
            </w:pPr>
            <w:r>
              <w:rPr>
                <w:sz w:val="24"/>
              </w:rPr>
              <w:t>(Filed April 20, 1994)</w:t>
            </w:r>
          </w:p>
        </w:tc>
      </w:tr>
      <w:tr>
        <w:trPr>
          <w:cantSplit w:val="true"/>
        </w:trPr>
        <w:tc>
          <w:tcPr>
            <w:tcW w:w="4769" w:type="dxa"/>
            <w:tcBorders>
              <w:bottom w:val="single" w:sz="4" w:space="0" w:color="000000"/>
            </w:tcBorders>
          </w:tcPr>
          <w:p>
            <w:pPr>
              <w:pStyle w:val="Normal"/>
              <w:tabs>
                <w:tab w:val="clear" w:pos="720"/>
              </w:tabs>
              <w:bidi w:val="0"/>
              <w:ind w:hanging="0" w:start="0" w:end="0"/>
              <w:jc w:val="start"/>
              <w:rPr/>
            </w:pPr>
            <w:r>
              <w:rPr>
                <w:sz w:val="24"/>
              </w:rPr>
              <w:t>Order Instituting Investigation on the Commission’s Proposed Policies Governing Restructuring California’s Electric Services Industry and Reforming Regulation.</w:t>
            </w:r>
          </w:p>
        </w:tc>
        <w:tc>
          <w:tcPr>
            <w:tcW w:w="360" w:type="dxa"/>
            <w:tcBorders/>
          </w:tcPr>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b/>
                <w:sz w:val="24"/>
              </w:rPr>
            </w:pPr>
            <w:r>
              <w:rPr>
                <w:b/>
                <w:sz w:val="24"/>
              </w:rPr>
              <w:t>)</w:t>
            </w:r>
          </w:p>
          <w:p>
            <w:pPr>
              <w:pStyle w:val="Normal"/>
              <w:tabs>
                <w:tab w:val="clear" w:pos="720"/>
              </w:tabs>
              <w:bidi w:val="0"/>
              <w:ind w:hanging="0" w:start="0" w:end="0"/>
              <w:jc w:val="start"/>
              <w:rPr/>
            </w:pPr>
            <w:r>
              <w:rPr>
                <w:b/>
                <w:sz w:val="24"/>
              </w:rPr>
              <w:t>)</w:t>
            </w:r>
          </w:p>
        </w:tc>
        <w:tc>
          <w:tcPr>
            <w:tcW w:w="3529" w:type="dxa"/>
            <w:tcBorders/>
          </w:tcPr>
          <w:p>
            <w:pPr>
              <w:pStyle w:val="Normal"/>
              <w:tabs>
                <w:tab w:val="clear" w:pos="720"/>
              </w:tabs>
              <w:bidi w:val="0"/>
              <w:ind w:hanging="0" w:start="0" w:end="0"/>
              <w:jc w:val="center"/>
              <w:rPr>
                <w:sz w:val="24"/>
              </w:rPr>
            </w:pPr>
            <w:r>
              <w:rPr>
                <w:sz w:val="24"/>
              </w:rPr>
            </w:r>
          </w:p>
          <w:p>
            <w:pPr>
              <w:pStyle w:val="Normal"/>
              <w:tabs>
                <w:tab w:val="clear" w:pos="720"/>
              </w:tabs>
              <w:bidi w:val="0"/>
              <w:ind w:hanging="0" w:start="0" w:end="0"/>
              <w:jc w:val="center"/>
              <w:rPr>
                <w:sz w:val="24"/>
              </w:rPr>
            </w:pPr>
            <w:r>
              <w:rPr>
                <w:sz w:val="24"/>
              </w:rPr>
              <w:t>Investigation 94-04-032</w:t>
            </w:r>
          </w:p>
          <w:p>
            <w:pPr>
              <w:pStyle w:val="Normal"/>
              <w:tabs>
                <w:tab w:val="clear" w:pos="720"/>
              </w:tabs>
              <w:bidi w:val="0"/>
              <w:ind w:hanging="0" w:start="0" w:end="0"/>
              <w:jc w:val="center"/>
              <w:rPr/>
            </w:pPr>
            <w:r>
              <w:rPr>
                <w:sz w:val="24"/>
              </w:rPr>
              <w:t>(Filed April 20, 1994)</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b/>
          <w:sz w:val="24"/>
        </w:rPr>
      </w:pPr>
      <w:r>
        <w:rPr>
          <w:b/>
          <w:sz w:val="24"/>
        </w:rPr>
        <w:t>COMMENTS OF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b/>
          <w:sz w:val="24"/>
        </w:rPr>
      </w:pPr>
      <w:r>
        <w:rPr>
          <w:b/>
          <w:sz w:val="24"/>
        </w:rPr>
        <w:t>INDEPENDENT ENERGY PRODUCERS ASSOCIATION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Pursuant to the Ordering Paragraph of Decision 00-12-065, </w:t>
      </w:r>
      <w:r>
        <w:rPr>
          <w:i/>
          <w:sz w:val="24"/>
        </w:rPr>
        <w:t>Order Proposing Clarifications And Modifications Of D.00-08-023 And D.00-09-075, And Establishing Prudency Standards For Forward Electricity Contracts</w:t>
      </w:r>
      <w:r>
        <w:rPr>
          <w:sz w:val="24"/>
        </w:rPr>
        <w:t>, (“Standards Decision”) the Independent Energy Producers Association (“IEP”) hereby provides its comments on the standards and criteria that should be established by the California Public Utilities Commission (“CPUC” or “Commission”).  IEP believes that the Commission must quickly put into place a set of supply procurement guidelines which will provide direction and flexibility in a manner that provides utility management the tools to swiftly secure adequate and competitively priced power for their native loads.   Because the adequacy of regional supplies continues to be uncertain for the upcoming peak periods which are less than 5 months away, the Commission must act immediately if there is to be any reasonable chance to provide sufficient time for the utilities to negotiate or solicit bilateral arrangements in time for the summer.</w:t>
      </w:r>
      <w:r>
        <w:rPr>
          <w:rStyle w:val="FootnoteReference"/>
          <w:sz w:val="24"/>
          <w:lang w:val="en-US" w:eastAsia="en-US"/>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r>
    </w:p>
    <w:p>
      <w:pPr>
        <w:pStyle w:val="QuickFormat1"/>
        <w:keepNext w:val="true"/>
        <w:keepLines/>
        <w:bidi w:val="0"/>
        <w:spacing w:lineRule="auto" w:line="240"/>
        <w:ind w:hanging="720" w:start="720" w:end="0"/>
        <w:jc w:val="start"/>
        <w:rPr>
          <w:b/>
        </w:rPr>
      </w:pPr>
      <w:r>
        <w:rPr>
          <w:b/>
        </w:rPr>
        <w:t>I.</w:t>
        <w:tab/>
        <w:t xml:space="preserve">The Commission Should Establish Standards In The Form of Guidelines That Provide The Utilities Flexibility To Procure Commodity Sufficient for Native Loads At A Stable Price. </w:t>
      </w:r>
      <w:r>
        <w:fldChar w:fldCharType="begin"/>
      </w:r>
      <w:r>
        <w:rPr>
          <w:b/>
          <w:vanish/>
        </w:rPr>
        <w:instrText xml:space="preserve"> TC "I.</w:instrText>
        <w:tab/>
        <w:instrText xml:space="preserve">The Commission Should Establish Standards In The Form of Guidelines That Provide The Utilities Flexibility To Procure Commodity Sufficient for Native Loads At A Stable Price. " \l 1 </w:instrText>
      </w:r>
      <w:r>
        <w:rPr>
          <w:b/>
          <w:vanish/>
        </w:rPr>
        <w:fldChar w:fldCharType="separate"/>
      </w:r>
      <w:r>
        <w:rPr>
          <w:b/>
          <w:vanish/>
        </w:rPr>
      </w:r>
      <w:r>
        <w:rPr>
          <w:b/>
          <w:vanish/>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The Standards Decision states that it is the Commission’s intention to develop “guidance” that will assist the utilities in the development of a supply portfolio.</w:t>
      </w:r>
      <w:r>
        <w:rPr>
          <w:rStyle w:val="FootnoteReference"/>
          <w:sz w:val="24"/>
          <w:lang w:val="en-US" w:eastAsia="en-US"/>
        </w:rPr>
        <w:footnoteReference w:id="3"/>
      </w:r>
      <w:r>
        <w:rPr>
          <w:sz w:val="24"/>
        </w:rPr>
        <w:t xml:space="preserve">  Recent changes to the wholesale market regulatory environment would suggest that the utility supply strategies will substantially change from what existed when the August and September decisions concerning contracting were adopted.</w:t>
      </w:r>
      <w:r>
        <w:rPr>
          <w:rStyle w:val="FootnoteReference"/>
          <w:sz w:val="24"/>
          <w:lang w:val="en-US" w:eastAsia="en-US"/>
        </w:rPr>
        <w:footnoteReference w:id="4"/>
      </w:r>
      <w:r>
        <w:rPr>
          <w:sz w:val="24"/>
        </w:rPr>
        <w:t xml:space="preserve">  For example, assuming that the utilities apply retained generation assets to “native” loads, the total quantity of the supply portfolio acquired from the marketplace through bilateral arrangements or from purchases from competitive exchanges will be reduced as the utilities’ retained assets are used as physical hedges.  Yet those supplies could have a critical role in ensuring supply adequacy and flexibility to meet consumers’ peak demand.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Even with “self-provision” of energy and capacity from retained assets, the utilities will continue to have periods where they must contract power from external sources that will presumably be at market prices.  The Commission should provide guidance that states its review will look to the totality of the utilities’ supply portfolios–rather than only the bilateral contract portion–when undertaking its reasonableness review.</w:t>
      </w:r>
      <w:r>
        <w:rPr>
          <w:b/>
          <w:sz w:val="24"/>
        </w:rPr>
        <w:t xml:space="preserve">  </w:t>
      </w:r>
      <w:r>
        <w:rPr>
          <w:sz w:val="24"/>
        </w:rPr>
        <w:t>The Commission must also clarify that the goal of the overall portfolio of supply is to provide sufficient supplies at competitive prices so that the retail rate, which will blend the costs from the various components of the portfolio, yields a stable and reasonable price for customers.</w:t>
      </w:r>
      <w:r>
        <w:rPr>
          <w:rStyle w:val="FootnoteReference"/>
          <w:sz w:val="24"/>
          <w:lang w:val="en-US" w:eastAsia="en-US"/>
        </w:rPr>
        <w:footnoteReference w:id="5"/>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The dual goal of ensuring sufficient supplies and avoiding price volatility must be the cornerstone to the Commission’s review policy.  Contract-by-contract review without recognition of the arrangement’s impact on the total portfolio, on the other hand, could undermine the development of sufficient diverse supply portfolios.  Accordingly, IEP does not believe that established single price “benchmarks” are of any value, particularly in light of the “very fluid times in the energy marketplace.”  One certainty that can be agreed to among parties familiar with efforts at projecting future market prices is that there is no certainty to forecasting.  Fuel costs change and the markets’ perception of risk changes.  The details of long-term bilateral contract offers made a year ago are not likely to continue today.  An administratively established benchmark price, unless constantly revised, is unlikely to be meaningful at the time the utility will need to exercise its judgment.  A 30-day period for regulatory “pre-approval”–particularly after a competitive solicitation–is likely to influence pricing much like the purchase of a mortgage “lock” option.  If the Commission decides that it must pursue this option, it must ensure that the benchmarks are set at levels which realistically reflect underlying conditions such as gas costs.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r>
    </w:p>
    <w:p>
      <w:pPr>
        <w:sectPr>
          <w:footerReference w:type="even" r:id="rId2"/>
          <w:footerReference w:type="default" r:id="rId3"/>
          <w:footerReference w:type="first" r:id="rId4"/>
          <w:footnotePr>
            <w:numFmt w:val="decimal"/>
            <w:numRestart w:val="eachSect"/>
          </w:footnotePr>
          <w:type w:val="nextPage"/>
          <w:pgSz w:w="12240" w:h="15840"/>
          <w:pgMar w:left="1440" w:right="1440" w:gutter="0" w:header="0" w:top="1440" w:footer="1200" w:bottom="1257"/>
          <w:pgNumType w:fmt="decimal"/>
          <w:formProt w:val="false"/>
          <w:textDirection w:val="lrTb"/>
          <w:docGrid w:type="default" w:linePitch="600" w:charSpace="40960"/>
        </w:sectPr>
      </w:pPr>
    </w:p>
    <w:p>
      <w:pPr>
        <w:pStyle w:val="QuickFormat1"/>
        <w:keepNext w:val="true"/>
        <w:keepLines/>
        <w:tabs>
          <w:tab w:val="clear" w:pos="720"/>
          <w:tab w:val="clear" w:pos="936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ind w:hanging="1440" w:start="1440" w:end="0"/>
        <w:jc w:val="start"/>
        <w:rPr>
          <w:b/>
        </w:rPr>
      </w:pPr>
      <w:r>
        <w:rPr>
          <w:b/>
        </w:rPr>
        <w:tab/>
        <w:t>A.</w:t>
        <w:tab/>
        <w:t xml:space="preserve">“Preapproval Processes” Should Be Avoided As They Undermine The Exercise of Utility Managerial Judgment </w:t>
      </w:r>
      <w:r>
        <w:fldChar w:fldCharType="begin"/>
      </w:r>
      <w:r>
        <w:rPr>
          <w:b/>
          <w:vanish/>
        </w:rPr>
        <w:instrText xml:space="preserve"> TC "A.</w:instrText>
        <w:tab/>
        <w:instrText xml:space="preserve">PreapprovalProcesses Should Be Avoided As They Undermine The Exercise of Utility Managerial Judgment " \l 1 </w:instrText>
      </w:r>
      <w:r>
        <w:rPr>
          <w:b/>
          <w:vanish/>
        </w:rPr>
        <w:fldChar w:fldCharType="separate"/>
      </w:r>
      <w:r>
        <w:rPr>
          <w:b/>
          <w:vanish/>
        </w:rPr>
      </w:r>
      <w:r>
        <w:rPr>
          <w:b/>
          <w:vanish/>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It is not readily apparent upon review of the Standards Decision whether managerial decisions over the procurement of power via longer-term contracts rests with the utility managers or with the CPUC’s Energy Division.  Put simply, it is safe to assume that total utility demand will continue to exceed in-state generation supplies for some time to come, and that the utilities will be in competition with other load-serving entities throughout the Western region to secure supplies. That competition may be particularly fierce this summer, particularly if drought conditions persist in the Pacific Northwest and in California.  Imposing a </w:t>
      </w:r>
      <w:r>
        <w:rPr>
          <w:i/>
          <w:sz w:val="24"/>
        </w:rPr>
        <w:t xml:space="preserve">requirement </w:t>
      </w:r>
      <w:r>
        <w:rPr>
          <w:sz w:val="24"/>
        </w:rPr>
        <w:t xml:space="preserve">(as opposed to an option) that the CPUC “pre-approve” longer-term contracts contemplated by the utilities may create unnecessary delays and barriers at the very time when ratepayers could be better served by prompt utility action.  The Commission should insist that utility management exercise sound judgment rather than attempting to substitute its judgment for the utilities’.  The pre-approval approach could be more supportable as regional surpluses arise in the future, but imposing such a requirement during periods of particularly tight supplies could lead to lost opportunities for the utilities’ supply procurement efforts.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One need only turn to the recent experience of SCE to see that the 30-day pre-approval process is a barrier to the swift exercise of utility managerial judgment.  IEP believes that on XXX SCE submitted materials for pre-approval by the Energy Division and that those materials were not timely approved.   </w:t>
      </w:r>
      <w:r>
        <w:rPr>
          <w:b/>
          <w:sz w:val="24"/>
        </w:rPr>
        <w:t xml:space="preserve">[need supporting information here or kill the statement.  any help from members?]  </w:t>
      </w:r>
      <w:r>
        <w:rPr>
          <w:sz w:val="24"/>
        </w:rPr>
        <w:t>Instead of foisting the responsibility for determining the reasonableness of one element of a supply portfolio upon the Energy Division at a time when prompt action is needed, it would make more sense to have the primary party to the contract assume those risks.  This fundamental issue was articulated in the Standards Decision: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r>
    </w:p>
    <w:p>
      <w:pPr>
        <w:pStyle w:val="BlockText"/>
        <w:bidi w:val="0"/>
        <w:jc w:val="start"/>
        <w:rPr>
          <w:rFonts w:ascii="Times New Roman" w:hAnsi="Times New Roman"/>
          <w:sz w:val="24"/>
        </w:rPr>
      </w:pPr>
      <w:r>
        <w:rPr>
          <w:sz w:val="24"/>
        </w:rPr>
        <w:t>We approach the adoption of these more detailed criteria for comment with some trepidation.  These are very fluid times in the energy marketplace.  We prefer to rely on utility management to exercise good judgement in making procurement decisions with flexibility to adjust to changing times.  We are disappointed with the fact that the utilities may be underutilizing the price-moderating potential of bilateral forward purchases because of the risk of after-the-fact review of the prudency of the purchases.  (Standards Decision, mimeo at page 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 xml:space="preserve">IEP believes that the Commission, utilities, ratepayers and contracting parties would be best served by an articulation of what would be considered reasonable relative to regional market conditions, rather than an approach which </w:t>
      </w:r>
      <w:r>
        <w:rPr>
          <w:i/>
          <w:sz w:val="24"/>
        </w:rPr>
        <w:t>requires</w:t>
      </w:r>
      <w:r>
        <w:rPr>
          <w:sz w:val="24"/>
        </w:rPr>
        <w:t xml:space="preserve"> pre-approval or presumptive reasonableness for individual contracts  based on some static pricing benchmark.  An option for pre-approval could be provided for the particularly risk averse utilities, but reliance on such pre-approvals should be discouraged.  The utilities’ concerns about “after-the-fact reviews” can be ameliorated by explicitly stating that the Commission will review the portfolio of supply </w:t>
      </w:r>
      <w:r>
        <w:rPr>
          <w:i/>
          <w:sz w:val="24"/>
        </w:rPr>
        <w:t>options</w:t>
      </w:r>
      <w:r>
        <w:rPr>
          <w:sz w:val="24"/>
        </w:rPr>
        <w:t xml:space="preserve"> exercised in light of then-prevailing market conditions.  This basic notion is partially articulated within the net present value (“NPV”) concept outlined in criteria #7.  But it must be clarified that the procurement option exercised, whether bilateral contract or the decision to default to the realtime market, was perceived at the time to be reasonable in light of overall regional market conditions identified within the periodic reports required by the Standards Decision.  This clarification could discourage what we have seen recently: lost opportunities for significant price certainty and actual savings due to fear that a reasonableness review will use an unknowable standard of review based on hindsight.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r>
    </w:p>
    <w:p>
      <w:pPr>
        <w:pStyle w:val="QuickFormat1"/>
        <w:bidi w:val="0"/>
        <w:spacing w:lineRule="auto" w:line="240"/>
        <w:ind w:hanging="1440" w:start="1440" w:end="0"/>
        <w:jc w:val="start"/>
        <w:rPr>
          <w:b/>
        </w:rPr>
      </w:pPr>
      <w:r>
        <w:rPr>
          <w:b/>
        </w:rPr>
        <w:tab/>
        <w:t>B.</w:t>
        <w:tab/>
        <w:t xml:space="preserve">The Commission Should Encourage Development Of Diverse Procurement Portfolios  </w:t>
      </w:r>
      <w:r>
        <w:fldChar w:fldCharType="begin"/>
      </w:r>
      <w:r>
        <w:rPr>
          <w:b/>
          <w:vanish/>
        </w:rPr>
        <w:instrText xml:space="preserve"> TC "B.</w:instrText>
        <w:tab/>
        <w:instrText xml:space="preserve">The Commission Should Encourage Development Of Diverse Procurement Portfolios  " \l 1 </w:instrText>
      </w:r>
      <w:r>
        <w:rPr>
          <w:b/>
          <w:vanish/>
        </w:rPr>
        <w:fldChar w:fldCharType="separate"/>
      </w:r>
      <w:r>
        <w:rPr>
          <w:b/>
          <w:vanish/>
        </w:rPr>
      </w:r>
      <w:r>
        <w:rPr>
          <w:b/>
          <w:vanish/>
        </w:rPr>
        <w:fldChar w:fldCharType="end"/>
      </w:r>
      <w:r>
        <w:rPr>
          <w:b/>
        </w:rPr>
        <w:t>That Address Both “Emergency” And “Normal” Conditions</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sz w:val="24"/>
        </w:rPr>
      </w:pPr>
      <w:r>
        <w:rPr>
          <w:sz w:val="24"/>
        </w:rPr>
        <w:t xml:space="preserve"> </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It is unclear whether the Commission is establishing procurement standards that are applicable to “emergency” conditions or “normal” conditions.  At page 9 of the Standards Decision the Commission speaks in terms of  “emergency bilateral forward contract portfolios.”  This distinction may not be necessary and may be unintentionally counter-productive. Indeed, it is the development of diverse procurement portfolios as the “ordinary course” of business, or the “normal” case, which holds the promise of minimizing the occurrences of emergency conditions.  Presumably the utilities will undertake an overall supply procurement strategy which would seek to secure sufficient quantities of reasonably priced power from a diverse set of resources including retained assets, inter-utility contracts (as has traditionally been done), exchange purchases, bilateral arrangements, and some spot and realtime purchasing.  As the supply side of the market improves with increased availability of in-state and imported hydroelectric power and new supply sources from in-state and external generation projects, the specific nature of the total portfolio may shift as market conditions improve.  The utility may seek to contract for long-term baseload volumes of power in recognition that hydroelectric resource availability may be poor in any given year.  Is the natural variance in hydro availability an “emergency” or “normal” situation?  </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Decision 00-09-023 authorized emergency motions for bilateral contracting authority through December 31, 2005 and provided standards for “per se” reasonableness treatment.  In that decision the Commission states: “We have not previously considered the prudence of bilateral transactions, and do not plan to establish policy that will determine the prudence of all bilateral contracts.” (D.00-09-023, mimeo at 8.)  The time has come to develop standards applicable to all bilateral contracts distinct from any applicable only to the “emergency situation.”  The absence of such general procurement standards drives the utilities’ reluctance to diversify their supply options with such arrangements.  The Standards Decision should provide a clarifying statement that the criteria proposed here are either those in effect until subsequent proceedings develop new standards for prospective application, or state that the standards in place at the time of contracting will apply throughout the initial term of the contract.  Such a clarification is needed to avoid the situation where the utilities, driven by perfect risk aversion, develop portfolios that are not diversified beyond 2005.</w:t>
      </w:r>
    </w:p>
    <w:p>
      <w:pPr>
        <w:sectPr>
          <w:footnotePr>
            <w:numFmt w:val="decimal"/>
            <w:numRestart w:val="eachSect"/>
          </w:footnotePr>
          <w:type w:val="continuous"/>
          <w:pgSz w:w="12240" w:h="15840"/>
          <w:pgMar w:left="1440" w:right="1440" w:gutter="0" w:header="0" w:top="1440" w:footer="1200" w:bottom="1257"/>
          <w:formProt w:val="false"/>
          <w:textDirection w:val="lrTb"/>
          <w:docGrid w:type="default" w:linePitch="600" w:charSpace="40960"/>
        </w:sectPr>
      </w:pPr>
    </w:p>
    <w:p>
      <w:pPr>
        <w:pStyle w:val="QuickFormat1"/>
        <w:bidi w:val="0"/>
        <w:spacing w:lineRule="atLeast" w:line="480"/>
        <w:ind w:hanging="0" w:start="0" w:end="0"/>
        <w:jc w:val="start"/>
        <w:rPr>
          <w:b/>
        </w:rPr>
      </w:pPr>
      <w:r>
        <w:rPr/>
        <w:tab/>
      </w:r>
      <w:r>
        <w:rPr>
          <w:b/>
        </w:rPr>
        <w:t>C.</w:t>
        <w:tab/>
        <w:t>The Commission Must Reconsider Criteria Which Favor Solicitations</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IEP believes that statements within the criteria which appear to favor bilateral arrangements that come about through competitive solicitation could have the unintended and undesirable effect of delaying adequate supply procurement prior to the peak demand period.  Time is clearly of the essence for the utilities, at least in the very near term.  By favoring contracts struck through solicitations, as Criteria No. 6 does, the Commission necessarily will require the utilities to incur substantial delays and costs which–irrespective of whether the solicitation proves successful–will be passed on to ratepayers.  Instead, the Commission should encourage prompt action by the utilities to ensure that adequate supplies are procured on a forward basis for the coming peak season.  After adequate supplies are in place and the utilities have achieved diverse and robust supply portfolios, utility sponsored solicitations can be pursued on a more deliberate basis.  We note, however, that such solicitations are best employed for standardized products, such as those commonly traded in forward markets.  The utilities, however, have repeatedly noted their desire for flexibility and IEP believes latitude in this area will be the best means of finding creative solutions to the supply problems facing California’s public utilities.</w:t>
      </w:r>
    </w:p>
    <w:p>
      <w:pPr>
        <w:pStyle w:val="Heading1"/>
        <w:numPr>
          <w:ilvl w:val="0"/>
          <w:numId w:val="0"/>
        </w:numPr>
        <w:bidi w:val="0"/>
        <w:ind w:hanging="720" w:start="720" w:end="0"/>
        <w:jc w:val="start"/>
        <w:outlineLvl w:val="0"/>
        <w:rPr>
          <w:rFonts w:ascii="Times New Roman" w:hAnsi="Times New Roman"/>
          <w:sz w:val="24"/>
        </w:rPr>
      </w:pPr>
      <w:r>
        <w:rPr>
          <w:rFonts w:ascii="Times New Roman" w:hAnsi="Times New Roman"/>
          <w:sz w:val="24"/>
        </w:rPr>
        <w:t>II.</w:t>
        <w:tab/>
        <w:t>The Commission Should Commit To Applying The Standards Adopted Here In Any Subsequent Review Proceeding</w:t>
      </w:r>
      <w:r>
        <w:fldChar w:fldCharType="begin"/>
      </w:r>
      <w:r>
        <w:rPr>
          <w:sz w:val="24"/>
          <w:vanish/>
          <w:rFonts w:ascii="Times New Roman" w:hAnsi="Times New Roman"/>
        </w:rPr>
        <w:instrText xml:space="preserve"> TC "II.</w:instrText>
        <w:tab/>
        <w:instrText xml:space="preserve">The Commission Should Commit To Applying The Standards Adopted Here In Any Subsequent Review Proceeding" \l 1 </w:instrText>
      </w:r>
      <w:r>
        <w:rPr>
          <w:sz w:val="24"/>
          <w:vanish/>
          <w:rFonts w:ascii="Times New Roman" w:hAnsi="Times New Roman"/>
        </w:rPr>
        <w:fldChar w:fldCharType="separate"/>
      </w:r>
      <w:r>
        <w:rPr>
          <w:rFonts w:ascii="Times New Roman" w:hAnsi="Times New Roman"/>
          <w:vanish/>
          <w:sz w:val="24"/>
        </w:rPr>
      </w:r>
      <w:r>
        <w:rPr>
          <w:sz w:val="24"/>
          <w:vanish/>
          <w:rFonts w:ascii="Times New Roman" w:hAnsi="Times New Roman"/>
        </w:rPr>
        <w:fldChar w:fldCharType="end"/>
      </w:r>
      <w:r>
        <w:rPr>
          <w:rFonts w:ascii="Times New Roman" w:hAnsi="Times New Roman"/>
          <w:sz w:val="24"/>
        </w:rPr>
        <w:tab/>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The Standards Decision notes that the criteria would be used in subsequent evaluation of the reasonableness of utility purchases.  Standards Decision at 6.  Specifically, the Commission states: </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end="720"/>
        <w:jc w:val="start"/>
        <w:rPr>
          <w:sz w:val="24"/>
        </w:rPr>
      </w:pPr>
      <w:r>
        <w:rPr>
          <w:sz w:val="24"/>
        </w:rPr>
        <w:t>[T]hese same criteria should be used by Energy Division and the ORA in the preapproval of individual contracts that our prior decisions established, and which are clarified in this decision. Finally, these same criteria, once finalized, should be used by the Commission in considering the reasonableness of the utilities’ procurement practices as they relate to the emergency bilateral forward contract portfolio that the individual contracts, taken together, create.  (Standards Decision, mimeo at 6.)</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vanish/>
          <w:sz w:val="24"/>
        </w:rPr>
      </w:pPr>
      <w:r>
        <w:rPr>
          <w:sz w:val="24"/>
        </w:rPr>
        <w:tab/>
        <w:t xml:space="preserve">If the Commission makes clear that it </w:t>
      </w:r>
      <w:r>
        <w:rPr>
          <w:i/>
          <w:sz w:val="24"/>
        </w:rPr>
        <w:t>will</w:t>
      </w:r>
      <w:r>
        <w:rPr>
          <w:sz w:val="24"/>
        </w:rPr>
        <w:t xml:space="preserve"> apply the standards in effect at the time of contracting for the purposes of reasonableness reviews later on, this single clarification will provide much of the regulatory certainty that the utilities have sought.  </w:t>
      </w:r>
      <w:r>
        <w:rPr>
          <w:b/>
          <w:sz w:val="24"/>
        </w:rPr>
        <w:t>III.</w:t>
        <w:tab/>
        <w:t>The Standards Should Be Modified On A Prospective Basis Only</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fldChar w:fldCharType="begin"/>
      </w:r>
      <w:r>
        <w:rPr>
          <w:sz w:val="24"/>
          <w:vanish/>
        </w:rPr>
        <w:instrText xml:space="preserve"> TC "III.</w:instrText>
        <w:tab/>
        <w:instrText xml:space="preserve">The Standards Should Be Modified On A Prospective Basis Only" \l 1 </w:instrText>
      </w:r>
      <w:r>
        <w:rPr>
          <w:sz w:val="24"/>
          <w:vanish/>
        </w:rPr>
        <w:fldChar w:fldCharType="separate"/>
      </w:r>
      <w:r>
        <w:rPr>
          <w:vanish/>
          <w:sz w:val="24"/>
        </w:rPr>
      </w:r>
      <w:r>
        <w:rPr>
          <w:sz w:val="24"/>
          <w:vanish/>
        </w:rPr>
        <w:fldChar w:fldCharType="end"/>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IEP understands that the Commission may be loath to “lock down” specific review standards and bind future Commissions.  Yet this potential for such change creates the very regulatory uncertainty of which the utilities have complained.  A policy can be divined which would allow for future changes to the reasonableness standard on a prospective basis, provided however, that its application is not retroactive.  Future revisions of the standards should be applied to subsequent transactions.  The totality of the utility supply portfolio, including bilateral arrangements, should be subjected to the standards applicable at the time of the transaction.  Articulation of such a policy will help clarify the Standards Decision and should reduce the regulatory anxiety that drives the utilities to eschew forward contracts in favor of higher priced “realtime” procurement.</w:t>
      </w:r>
    </w:p>
    <w:p>
      <w:pPr>
        <w:pStyle w:val="QuickFormat1"/>
        <w:bidi w:val="0"/>
        <w:spacing w:lineRule="atLeast" w:line="480"/>
        <w:ind w:hanging="0" w:start="0" w:end="0"/>
        <w:jc w:val="start"/>
        <w:rPr>
          <w:b/>
        </w:rPr>
      </w:pPr>
      <w:r>
        <w:rPr>
          <w:b/>
        </w:rPr>
        <w:t>V.</w:t>
        <w:tab/>
        <w:t>Conclusion</w:t>
      </w:r>
      <w:r>
        <w:fldChar w:fldCharType="begin"/>
      </w:r>
      <w:r>
        <w:rPr>
          <w:b/>
          <w:vanish/>
        </w:rPr>
        <w:instrText xml:space="preserve"> TC "V.</w:instrText>
        <w:tab/>
        <w:instrText xml:space="preserve">Conclusion" \l 1 </w:instrText>
      </w:r>
      <w:r>
        <w:rPr>
          <w:b/>
          <w:vanish/>
        </w:rPr>
        <w:fldChar w:fldCharType="separate"/>
      </w:r>
      <w:r>
        <w:rPr>
          <w:b/>
          <w:vanish/>
        </w:rPr>
      </w:r>
      <w:r>
        <w:rPr>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tab/>
        <w:t xml:space="preserve">The Commission should undertake some specific clarification of the Standards Decision which will encourage the utilities to build a diverse portfolio of supply options that comply with general guidance from the CPUC.  The Commission, utilities and ratepayers would be better served by more general pronouncements of policy rather than specific benchmark prices or specified contractual elements.  Review on a contract-by-contract basis should be avoided, and instead the Commission should look at the adequacy of the utility supply relative to market conditions that existed at the time as well as the ultimate retail rate that result from the blending of the utility supply options’ costs.  To this end, and in recognition of the tightening supply opportunities, the Commission should state that the utilities’ procurement goal should be to ensure adequate, diverse supplies on a forward basis in a manner that minimizes retail commodity rate volatility.  The Commission should also clarify that reasonableness reviews of procurement strategies will use the standards in effect at the time the supply is secured, and that revisions to the standards will be done on a prospective basis only.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Dated: January 8, 2001</w:t>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____________________________________________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Douglas K. Kerner, of Counsel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end="0"/>
        <w:jc w:val="both"/>
        <w:rPr>
          <w:sz w:val="24"/>
        </w:rPr>
      </w:pPr>
      <w:r>
        <w:rPr>
          <w:sz w:val="24"/>
        </w:rPr>
        <w:tab/>
        <w:t>Andrew B. Brown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ELLISON, SCHNEIDER &amp; HARRIS,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2015 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Sacramento, California 95814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6480" w:start="6480" w:end="0"/>
        <w:jc w:val="both"/>
        <w:rPr>
          <w:sz w:val="24"/>
        </w:rPr>
      </w:pPr>
      <w:r>
        <w:rPr>
          <w:sz w:val="24"/>
        </w:rPr>
        <w:tab/>
        <w:tab/>
        <w:tab/>
        <w:tab/>
        <w:tab/>
        <w:tab/>
        <w:tab/>
        <w:t>Telephone:</w:t>
        <w:tab/>
        <w:t>916/447-2166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6480" w:start="6480" w:end="0"/>
        <w:jc w:val="both"/>
        <w:rPr>
          <w:sz w:val="24"/>
        </w:rPr>
      </w:pPr>
      <w:r>
        <w:rPr>
          <w:sz w:val="24"/>
        </w:rPr>
        <w:tab/>
        <w:tab/>
        <w:tab/>
        <w:tab/>
        <w:tab/>
        <w:tab/>
        <w:tab/>
        <w:t>Facsimile:</w:t>
        <w:tab/>
        <w:t>916/447-3512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E-mail: dkk@eslawfirm.com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 xml:space="preserve">Attorneys for the Independent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4"/>
        </w:rPr>
      </w:pPr>
      <w:r>
        <w:rPr>
          <w:sz w:val="24"/>
        </w:rPr>
        <w:tab/>
        <w:tab/>
        <w:tab/>
        <w:tab/>
        <w:tab/>
        <w:tab/>
        <w:tab/>
        <w:tab/>
        <w:t>Energy Producers Association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ind w:hanging="0" w:start="0" w:end="0"/>
        <w:jc w:val="both"/>
        <w:rPr>
          <w:sz w:val="16"/>
        </w:rPr>
      </w:pPr>
      <w:r>
        <w:rPr>
          <w:sz w:val="16"/>
          <w:lang w:val="en-CA"/>
        </w:rPr>
        <w:fldChar w:fldCharType="begin"/>
      </w:r>
      <w:r>
        <w:rPr>
          <w:sz w:val="16"/>
          <w:lang w:val="en-CA"/>
        </w:rPr>
        <w:instrText xml:space="preserve"> FILENAME </w:instrText>
      </w:r>
      <w:r>
        <w:rPr>
          <w:sz w:val="16"/>
          <w:lang w:val="en-CA"/>
        </w:rPr>
        <w:fldChar w:fldCharType="separate"/>
      </w:r>
      <w:r>
        <w:rPr>
          <w:sz w:val="16"/>
          <w:lang w:val="en-CA"/>
        </w:rPr>
        <w:t>010108_IEP_Cmts_Frwd_Criteria.dkkrev.doc</w:t>
      </w:r>
      <w:r>
        <w:rPr>
          <w:sz w:val="16"/>
          <w:lang w:val="en-CA"/>
        </w:rPr>
        <w:fldChar w:fldCharType="end"/>
      </w:r>
    </w:p>
    <w:sectPr>
      <w:footnotePr>
        <w:numFmt w:val="decimal"/>
        <w:numRestart w:val="eachSect"/>
      </w:footnotePr>
      <w:type w:val="continuous"/>
      <w:pgSz w:w="12240" w:h="15840"/>
      <w:pgMar w:left="1440" w:right="1440" w:gutter="0" w:header="0" w:top="1440" w:footer="1200" w:bottom="1257"/>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bidi w:val="0"/>
      <w:ind w:hanging="0" w:start="0" w:end="0"/>
      <w:jc w:val="start"/>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w:t>
                    </w:r>
                    <w:r>
                      <w:rPr>
                        <w:rStyle w:val="PageNumber"/>
                        <w:lang w:val="en-CA" w:eastAsia="en-CA"/>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64135" cy="146685"/>
              <wp:effectExtent l="0" t="0" r="0" b="0"/>
              <wp:wrapTopAndBottom/>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tabs>
                              <w:tab w:val="clear" w:pos="720"/>
                              <w:tab w:val="left" w:pos="0" w:leader="none"/>
                              <w:tab w:val="center" w:pos="4320" w:leader="none"/>
                              <w:tab w:val="right" w:pos="8640" w:leader="none"/>
                              <w:tab w:val="left" w:pos="9360" w:leader="none"/>
                            </w:tabs>
                            <w:bidi w:val="0"/>
                            <w:ind w:hanging="0" w:start="0" w:end="0"/>
                            <w:jc w:val="start"/>
                            <w:rPr/>
                          </w:pPr>
                          <w:r>
                            <w:rPr/>
                            <w:fldChar w:fldCharType="begin"/>
                          </w:r>
                          <w:r>
                            <w:rPr/>
                            <w:instrText xml:space="preserve"> PAGE </w:instrText>
                          </w:r>
                          <w:r>
                            <w:rPr/>
                            <w:fldChar w:fldCharType="separate"/>
                          </w:r>
                          <w:r>
                            <w:rPr/>
                            <w:t>8</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text;margin-left:231.5pt;mso-position-horizontal:center;mso-position-horizontal-relative:margin">
              <v:fill opacity="0f"/>
              <v:textbox inset="0in,0in,0in,0in">
                <w:txbxContent>
                  <w:p>
                    <w:pPr>
                      <w:pStyle w:val="Normal"/>
                      <w:pBdr/>
                      <w:tabs>
                        <w:tab w:val="clear" w:pos="720"/>
                        <w:tab w:val="left" w:pos="0" w:leader="none"/>
                        <w:tab w:val="center" w:pos="4320" w:leader="none"/>
                        <w:tab w:val="right" w:pos="8640" w:leader="none"/>
                        <w:tab w:val="left" w:pos="9360" w:leader="none"/>
                      </w:tabs>
                      <w:bidi w:val="0"/>
                      <w:ind w:hanging="0" w:start="0" w:end="0"/>
                      <w:jc w:val="start"/>
                      <w:rPr/>
                    </w:pPr>
                    <w:r>
                      <w:rPr/>
                      <w:fldChar w:fldCharType="begin"/>
                    </w:r>
                    <w:r>
                      <w:rPr/>
                      <w:instrText xml:space="preserve"> PAGE </w:instrText>
                    </w:r>
                    <w:r>
                      <w:rPr/>
                      <w:fldChar w:fldCharType="separate"/>
                    </w:r>
                    <w:r>
                      <w:rPr/>
                      <w:t>8</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bidi w:val="0"/>
      <w:ind w:hanging="0" w:start="0" w:end="0"/>
      <w:jc w:val="start"/>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TopAndBottom/>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w:t>
                    </w:r>
                    <w:r>
                      <w:rPr>
                        <w:rStyle w:val="PageNumber"/>
                        <w:lang w:val="en-CA" w:eastAsia="en-CA"/>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64135" cy="146685"/>
              <wp:effectExtent l="0" t="0" r="0" b="0"/>
              <wp:wrapTopAndBottom/>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tabs>
                              <w:tab w:val="clear" w:pos="720"/>
                              <w:tab w:val="left" w:pos="0" w:leader="none"/>
                              <w:tab w:val="center" w:pos="4320" w:leader="none"/>
                              <w:tab w:val="right" w:pos="8640" w:leader="none"/>
                              <w:tab w:val="left" w:pos="9360" w:leader="none"/>
                            </w:tabs>
                            <w:bidi w:val="0"/>
                            <w:ind w:hanging="0" w:start="0" w:end="0"/>
                            <w:jc w:val="start"/>
                            <w:rPr/>
                          </w:pPr>
                          <w:r>
                            <w:rPr/>
                            <w:fldChar w:fldCharType="begin"/>
                          </w:r>
                          <w:r>
                            <w:rPr/>
                            <w:instrText xml:space="preserve"> PAGE </w:instrText>
                          </w:r>
                          <w:r>
                            <w:rPr/>
                            <w:fldChar w:fldCharType="separate"/>
                          </w:r>
                          <w:r>
                            <w:rPr/>
                            <w:t>8</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text;margin-left:231.5pt;mso-position-horizontal:center;mso-position-horizontal-relative:margin">
              <v:fill opacity="0f"/>
              <v:textbox inset="0in,0in,0in,0in">
                <w:txbxContent>
                  <w:p>
                    <w:pPr>
                      <w:pStyle w:val="Normal"/>
                      <w:pBdr/>
                      <w:tabs>
                        <w:tab w:val="clear" w:pos="720"/>
                        <w:tab w:val="left" w:pos="0" w:leader="none"/>
                        <w:tab w:val="center" w:pos="4320" w:leader="none"/>
                        <w:tab w:val="right" w:pos="8640" w:leader="none"/>
                        <w:tab w:val="left" w:pos="9360" w:leader="none"/>
                      </w:tabs>
                      <w:bidi w:val="0"/>
                      <w:ind w:hanging="0" w:start="0" w:end="0"/>
                      <w:jc w:val="start"/>
                      <w:rPr/>
                    </w:pPr>
                    <w:r>
                      <w:rPr/>
                      <w:fldChar w:fldCharType="begin"/>
                    </w:r>
                    <w:r>
                      <w:rPr/>
                      <w:instrText xml:space="preserve"> PAGE </w:instrText>
                    </w:r>
                    <w:r>
                      <w:rPr/>
                      <w:fldChar w:fldCharType="separate"/>
                    </w:r>
                    <w:r>
                      <w:rPr/>
                      <w:t>8</w:t>
                    </w:r>
                    <w:r>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t>Recent press has noted that hydro conditions are 75% of seasonal average in the Pacific Northwest.  Reduced hydroelectric availability will contribute to extremely tight supply conditions come June.</w:t>
      </w:r>
    </w:p>
  </w:footnote>
  <w:footnote w:id="3">
    <w:p>
      <w:pPr>
        <w:pStyle w:val="FootnoteText"/>
        <w:bidi w:val="0"/>
        <w:jc w:val="start"/>
        <w:rPr/>
      </w:pPr>
      <w:r>
        <w:rPr>
          <w:rStyle w:val="FootnoteCharacters"/>
        </w:rPr>
        <w:footnoteRef/>
      </w:r>
      <w:r>
        <w:rPr/>
        <w:t xml:space="preserve">Standards Decision, mimeo, page 5: “During this time of crisis, it is nevertheless important to provide guidance on what we may consider reasonable as they conduct negotiations toward developing their portfolios.”  </w:t>
      </w:r>
    </w:p>
  </w:footnote>
  <w:footnote w:id="4">
    <w:p>
      <w:pPr>
        <w:pStyle w:val="FootnoteText"/>
        <w:bidi w:val="0"/>
        <w:jc w:val="start"/>
        <w:rPr/>
      </w:pPr>
      <w:r>
        <w:rPr>
          <w:rStyle w:val="FootnoteCharacters"/>
        </w:rPr>
        <w:footnoteRef/>
      </w:r>
      <w:r>
        <w:rPr/>
        <w:t>D.00-08-023 and D.00-09-075 respectively.  Those decisions were made within the regulatory design that presumed the “mandatory buy/sell requirement.”  We note that there is a proposed decision pending for possible adoption at the January 4, 2001 meeting which would have the utilities self-provide some energy and capacity requirements from retained assets.  Assuming such an action occurs at some point in the near future, the quantity of demand served from power subject to market pricing would be reduced accordingly.</w:t>
      </w:r>
    </w:p>
  </w:footnote>
  <w:footnote w:id="5">
    <w:p>
      <w:pPr>
        <w:pStyle w:val="FootnoteText"/>
        <w:bidi w:val="0"/>
        <w:jc w:val="start"/>
        <w:rPr/>
      </w:pPr>
      <w:r>
        <w:rPr>
          <w:rStyle w:val="FootnoteCharacters"/>
        </w:rPr>
        <w:footnoteRef/>
      </w:r>
      <w:r>
        <w:rPr/>
        <w:t>We presume that the Commission will continue to refine the unbundled rate elements and that the commodity rate applicable in any given billing period will reflect the most current set of commodity costs, similar to today’s Schedule PX.</w:t>
      </w:r>
    </w:p>
  </w:footnote>
</w:footnotes>
</file>

<file path=word/settings.xml><?xml version="1.0" encoding="utf-8"?>
<w:settings xmlns:w="http://schemas.openxmlformats.org/wordprocessingml/2006/main">
  <w:zoom w:percent="114"/>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rFonts w:ascii="Arial" w:hAnsi="Arial"/>
      <w:b/>
      <w:kern w:val="2"/>
      <w:sz w:val="32"/>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rFonts w:ascii="Arial" w:hAnsi="Arial"/>
      <w:b/>
      <w:i/>
      <w:sz w:val="28"/>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rFonts w:ascii="Arial" w:hAnsi="Arial"/>
      <w:b/>
      <w:sz w:val="26"/>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b/>
      <w:sz w:val="28"/>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b/>
      <w:i/>
      <w:sz w:val="26"/>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b/>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sz w:val="24"/>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i/>
      <w:sz w:val="24"/>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sz w:val="22"/>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BodyTextIn">
    <w:name w:val="Body Text In"/>
    <w:qFormat/>
    <w:rPr>
      <w:lang w:val="en-CA" w:eastAsia="en-CA"/>
    </w:rPr>
  </w:style>
  <w:style w:type="character" w:styleId="footnoteref">
    <w:name w:val="footnote ref"/>
    <w:qFormat/>
    <w:rPr>
      <w:lang w:val="en-CA" w:eastAsia="en-CA"/>
    </w:rPr>
  </w:style>
  <w:style w:type="character" w:styleId="footnotetex">
    <w:name w:val="footnote tex"/>
    <w:qFormat/>
    <w:rPr>
      <w:sz w:val="20"/>
      <w:lang w:val="en-CA" w:eastAsia="en-CA"/>
    </w:rPr>
  </w:style>
  <w:style w:type="character" w:styleId="DefaultPara">
    <w:name w:val="Default Para"/>
    <w:qFormat/>
    <w:rPr>
      <w:lang w:val="en-CA" w:eastAsia="en-CA"/>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start"/>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val="false"/>
      <w:tabs>
        <w:tab w:val="left" w:pos="720" w:leader="none"/>
      </w:tabs>
      <w:bidi w:val="0"/>
      <w:ind w:hanging="720" w:start="720"/>
      <w:jc w:val="both"/>
      <w:textAlignment w:val="auto"/>
    </w:pPr>
    <w:rPr>
      <w:rFonts w:ascii="Times New Roman" w:hAnsi="Times New Roman" w:eastAsia="Times New Roman" w:cs="Times New Roman"/>
      <w:color w:val="auto"/>
      <w:kern w:val="2"/>
      <w:sz w:val="24"/>
      <w:szCs w:val="24"/>
      <w:lang w:val="en-US" w:eastAsia="en-US" w:bidi="hi-IN"/>
    </w:rPr>
  </w:style>
  <w:style w:type="paragraph" w:styleId="2AutoList2">
    <w:name w:val="2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3AutoList2">
    <w:name w:val="3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4AutoList2">
    <w:name w:val="4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5AutoList2">
    <w:name w:val="5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6AutoList2">
    <w:name w:val="6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7AutoList2">
    <w:name w:val="7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8AutoList2">
    <w:name w:val="8AutoList2"/>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1AutoList1">
    <w:name w:val="1AutoList1"/>
    <w:qFormat/>
    <w:pPr>
      <w:widowControl w:val="false"/>
      <w:tabs>
        <w:tab w:val="left" w:pos="720" w:leader="none"/>
      </w:tabs>
      <w:bidi w:val="0"/>
      <w:ind w:hanging="720" w:start="720"/>
      <w:jc w:val="both"/>
      <w:textAlignment w:val="auto"/>
    </w:pPr>
    <w:rPr>
      <w:rFonts w:ascii="Times New Roman" w:hAnsi="Times New Roman" w:eastAsia="Times New Roman" w:cs="Times New Roman"/>
      <w:color w:val="auto"/>
      <w:kern w:val="2"/>
      <w:sz w:val="24"/>
      <w:szCs w:val="24"/>
      <w:lang w:val="en-US" w:eastAsia="en-US" w:bidi="hi-IN"/>
    </w:rPr>
  </w:style>
  <w:style w:type="paragraph" w:styleId="2AutoList1">
    <w:name w:val="2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3AutoList1">
    <w:name w:val="3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4AutoList1">
    <w:name w:val="4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5AutoList1">
    <w:name w:val="5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6AutoList1">
    <w:name w:val="6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7AutoList1">
    <w:name w:val="7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8AutoList1">
    <w:name w:val="8AutoList1"/>
    <w:qFormat/>
    <w:pPr>
      <w:widowControl w:val="false"/>
      <w:bidi w:val="0"/>
      <w:ind w:start="-1440"/>
      <w:jc w:val="both"/>
      <w:textAlignment w:val="auto"/>
    </w:pPr>
    <w:rPr>
      <w:rFonts w:ascii="Times New Roman" w:hAnsi="Times New Roman" w:eastAsia="Times New Roman" w:cs="Times New Roman"/>
      <w:color w:val="auto"/>
      <w:kern w:val="2"/>
      <w:sz w:val="24"/>
      <w:szCs w:val="24"/>
      <w:lang w:val="en-US" w:eastAsia="en-US"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QuickFormat1">
    <w:name w:val="QuickFormat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jc w:val="start"/>
      <w:textAlignment w:val="auto"/>
    </w:pPr>
    <w:rPr>
      <w:rFonts w:ascii="Times New Roman" w:hAnsi="Times New Roman" w:eastAsia="Times New Roman" w:cs="Times New Roman"/>
      <w:color w:val="auto"/>
      <w:kern w:val="2"/>
      <w:sz w:val="24"/>
      <w:szCs w:val="24"/>
      <w:lang w:val="en-US" w:eastAsia="en-US" w:bidi="hi-IN"/>
    </w:rPr>
  </w:style>
  <w:style w:type="paragraph" w:styleId="BodyText2">
    <w:name w:val="Body Text 2"/>
    <w:basedOn w:val="Normal"/>
    <w:qFormat/>
    <w:pPr>
      <w:widowControl w:val="false"/>
      <w:spacing w:before="0" w:after="120"/>
      <w:ind w:hanging="0" w:start="360" w:end="0"/>
      <w:jc w:val="start"/>
      <w:textAlignment w:val="auto"/>
    </w:pPr>
    <w:rPr>
      <w:sz w:val="20"/>
      <w:lang w:val="en-US" w:eastAsia="en-US"/>
    </w:rPr>
  </w:style>
  <w:style w:type="paragraph" w:styleId="BlockText">
    <w:name w:val="Block Text"/>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720"/>
      <w:jc w:val="start"/>
      <w:textAlignment w:val="auto"/>
    </w:pPr>
    <w:rPr>
      <w:sz w:val="20"/>
      <w:lang w:val="en-US" w:eastAsia="en-US"/>
    </w:rPr>
  </w:style>
  <w:style w:type="paragraph" w:styleId="Title">
    <w:name w:val="Title"/>
    <w:basedOn w:val="Normal"/>
    <w:qFormat/>
    <w:pPr>
      <w:widowControl w:val="false"/>
      <w:ind w:hanging="0" w:start="0" w:end="0"/>
      <w:jc w:val="center"/>
      <w:textAlignment w:val="auto"/>
    </w:pPr>
    <w:rPr>
      <w:b/>
      <w:sz w:val="24"/>
      <w:lang w:val="en-US" w:eastAsia="en-US"/>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2484</Words>
  <Characters>17389</Characters>
  <CharactersWithSpaces>14160</CharactersWithSpaces>
  <Company>Ellison &amp; Schneider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2001-01-04T16:26:00Z</dcterms:created>
  <dc:creator>Andrew Brown</dc:creator>
  <dc:description/>
  <dc:language>en-CA</dc:language>
  <cp:lastModifiedBy/>
  <cp:lastPrinted>2001-01-04T17:12:00Z</cp:lastPrinted>
  <dcterms:modified xsi:type="dcterms:W3CDTF">2001-01-04T17:22:00Z</dcterms:modified>
  <cp:revision>4</cp:revision>
  <dc:subject/>
  <dc:title>BEFORE THE PUBLIC UTILITIES COMMISSION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Brown</vt:lpwstr>
  </property>
</Properties>
</file>