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Analysis of Load Forecast, Resource Availability Forecast, and Transmission System Conditions that Call for Certification</w:t>
      </w:r>
    </w:p>
    <w:p>
      <w:pPr>
        <w:pStyle w:val="Normal"/>
        <w:rPr>
          <w:rFonts w:ascii="Arial Narrow" w:hAnsi="Arial Narrow" w:cs="Arial Narrow"/>
        </w:rPr>
      </w:pPr>
      <w:r>
        <w:rPr>
          <w:rFonts w:cs="Arial Narrow" w:ascii="Arial Narrow" w:hAnsi="Arial Narrow"/>
        </w:rPr>
      </w:r>
    </w:p>
    <w:p>
      <w:pPr>
        <w:pStyle w:val="Normal"/>
        <w:spacing w:before="0" w:after="120"/>
        <w:rPr>
          <w:rFonts w:ascii="Arial Narrow" w:hAnsi="Arial Narrow" w:cs="Arial Narrow"/>
        </w:rPr>
      </w:pPr>
      <w:r>
        <w:rPr>
          <w:rFonts w:cs="Arial Narrow" w:ascii="Arial Narrow" w:hAnsi="Arial Narrow"/>
        </w:rPr>
        <w:t>The California ISO has assessed its load and available resource forecast for January 2, 2001 and found resource deficiencies in California from hour-ending 0600 to 2200 ranging from 19 MW to 3,534 MW.  In addition, the California ISO has found a deficiency in Northern California resources for every hour of the operating day, ranging from 1,972 MW to 4,970 MW. This document describes (1) the forecast components and the values expected for each component, (2) the magnitude and duration of the resource deficiency, (3) the conditions that give rise to this deficiency and motivates this certification in order to obtain the necessary resources. (See Attachment A for data underlying this analysis.)</w:t>
      </w:r>
    </w:p>
    <w:p>
      <w:pPr>
        <w:pStyle w:val="Normal"/>
        <w:spacing w:before="0" w:after="120"/>
        <w:rPr>
          <w:rFonts w:ascii="Arial Narrow" w:hAnsi="Arial Narrow" w:cs="Arial Narrow"/>
          <w:b/>
          <w:u w:val="single"/>
        </w:rPr>
      </w:pPr>
      <w:r>
        <w:rPr>
          <w:rFonts w:cs="Arial Narrow" w:ascii="Arial Narrow" w:hAnsi="Arial Narrow"/>
          <w:b/>
          <w:u w:val="single"/>
        </w:rPr>
        <w:t>Summary and Primary Reasons for Continued Certification</w:t>
      </w:r>
    </w:p>
    <w:p>
      <w:pPr>
        <w:pStyle w:val="Normal"/>
        <w:spacing w:before="0" w:after="120"/>
        <w:rPr>
          <w:rFonts w:ascii="Arial Narrow" w:hAnsi="Arial Narrow" w:cs="Arial Narrow"/>
        </w:rPr>
      </w:pPr>
      <w:r>
        <w:rPr>
          <w:rFonts w:cs="Arial Narrow" w:ascii="Arial Narrow" w:hAnsi="Arial Narrow"/>
        </w:rPr>
        <w:t>On a daily basis, the ISO narrowly avoids curtailment of firm customers by arranging adequate deliveries of electricity.  The ISO would not be able to secure such supplies absent the Section 202c authority.  For example, the certification of 12/27 for operating day 12/28 allowed the ISO operators to arrange for the delivery of between 420 MW to 2,004 MW to address the deficiencies reported for the same period.  In light of continuing concerns regarding cost-recovery (See Item (4) below), suppliers remain reluctant to sell to the ISO, either through the market or under bilateral arrangements.  Until these concerns are reduced, the ISO anticipates that it will have to continue to rely on the authority granted to it under Section 202c.</w:t>
      </w:r>
    </w:p>
    <w:p>
      <w:pPr>
        <w:pStyle w:val="Heading1"/>
        <w:numPr>
          <w:ilvl w:val="0"/>
          <w:numId w:val="3"/>
        </w:numPr>
        <w:rPr/>
      </w:pPr>
      <w:r>
        <w:rPr/>
        <w:t>Peak Load Forecast</w:t>
      </w:r>
      <w:r>
        <w:rPr>
          <w:rStyle w:val="FootnoteCharacters"/>
          <w:rStyle w:val="FootnoteReference"/>
        </w:rPr>
        <w:footnoteReference w:id="2"/>
      </w:r>
    </w:p>
    <w:p>
      <w:pPr>
        <w:pStyle w:val="Normal"/>
        <w:ind w:start="360" w:end="0"/>
        <w:rPr>
          <w:rFonts w:ascii="Arial Narrow" w:hAnsi="Arial Narrow" w:cs="Arial Narrow"/>
        </w:rPr>
      </w:pPr>
      <w:r>
        <w:rPr>
          <w:rFonts w:cs="Arial Narrow" w:ascii="Arial Narrow" w:hAnsi="Arial Narrow"/>
        </w:rPr>
        <w:t>This load forecast peaks at 35,994 MW at 1800 hours. This forecast is fairly typical for this season.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Heading1"/>
        <w:numPr>
          <w:ilvl w:val="0"/>
          <w:numId w:val="3"/>
        </w:numPr>
        <w:rPr/>
      </w:pPr>
      <w:r>
        <w:rPr/>
        <w:t>Forecast of Resource Availability</w:t>
      </w:r>
    </w:p>
    <w:p>
      <w:pPr>
        <w:pStyle w:val="BodyTextIndent"/>
        <w:spacing w:before="0" w:after="120"/>
        <w:rPr/>
      </w:pPr>
      <w:r>
        <w:rPr/>
        <w:t>Scheduled resources are only 76% of the forecasted peak load, and the amount of CAISO’s forecasted real-time resources make-up only 45% of the deficit in scheduled resources.</w:t>
      </w:r>
    </w:p>
    <w:p>
      <w:pPr>
        <w:pStyle w:val="BodyTextIndent"/>
        <w:spacing w:before="0" w:after="120"/>
        <w:rPr/>
      </w:pPr>
      <w:r>
        <w:rPr/>
        <w:tab/>
        <w:tab/>
        <w:tab/>
        <w:tab/>
        <w:tab/>
      </w:r>
      <w:r>
        <w:rPr>
          <w:u w:val="single"/>
        </w:rPr>
        <w:t>01/02 Peak Forecast</w:t>
      </w:r>
    </w:p>
    <w:p>
      <w:pPr>
        <w:pStyle w:val="BodyTextIndent"/>
        <w:rPr/>
      </w:pPr>
      <w:r>
        <w:rPr/>
        <w:t>Scheduled Resources</w:t>
      </w:r>
      <w:r>
        <w:rPr>
          <w:rStyle w:val="FootnoteCharacters"/>
          <w:rStyle w:val="FootnoteReference"/>
        </w:rPr>
        <w:footnoteReference w:id="3"/>
      </w:r>
      <w:r>
        <w:rPr/>
        <w:tab/>
        <w:tab/>
        <w:tab/>
        <w:t>27,442 MW</w:t>
        <w:tab/>
        <w:tab/>
      </w:r>
    </w:p>
    <w:p>
      <w:pPr>
        <w:pStyle w:val="BodyTextIndent"/>
        <w:rPr/>
      </w:pPr>
      <w:r>
        <w:rPr/>
        <w:t>Real-time Resources</w:t>
      </w:r>
      <w:r>
        <w:rPr>
          <w:rStyle w:val="FootnoteCharacters"/>
          <w:rStyle w:val="FootnoteReference"/>
        </w:rPr>
        <w:footnoteReference w:id="4"/>
      </w:r>
      <w:r>
        <w:rPr/>
        <w:tab/>
        <w:tab/>
        <w:tab/>
        <w:t>3,860   MW</w:t>
        <w:tab/>
      </w:r>
    </w:p>
    <w:p>
      <w:pPr>
        <w:pStyle w:val="BodyTextIndent"/>
        <w:rPr/>
      </w:pPr>
      <w:r>
        <w:rPr/>
        <w:t>Other Resources</w:t>
      </w:r>
      <w:r>
        <w:rPr>
          <w:rStyle w:val="FootnoteCharacters"/>
          <w:rStyle w:val="FootnoteReference"/>
        </w:rPr>
        <w:footnoteReference w:id="5"/>
      </w:r>
      <w:r>
        <w:rPr/>
        <w:tab/>
        <w:tab/>
        <w:tab/>
        <w:tab/>
        <w:t>2,500   MW</w:t>
      </w:r>
    </w:p>
    <w:p>
      <w:pPr>
        <w:pStyle w:val="BodyTextIndent"/>
        <w:rPr/>
      </w:pPr>
      <w:r>
        <w:rPr/>
      </w:r>
    </w:p>
    <w:p>
      <w:pPr>
        <w:pStyle w:val="Header"/>
        <w:tabs>
          <w:tab w:val="clear" w:pos="4320"/>
          <w:tab w:val="clear" w:pos="8640"/>
        </w:tabs>
        <w:jc w:val="center"/>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ing1"/>
        <w:numPr>
          <w:ilvl w:val="0"/>
          <w:numId w:val="3"/>
        </w:numPr>
        <w:rPr/>
      </w:pPr>
      <w:r>
        <w:rPr/>
        <w:t>Resource Deficiency</w:t>
      </w:r>
    </w:p>
    <w:p>
      <w:pPr>
        <w:pStyle w:val="BodyTextIndent"/>
        <w:rPr/>
      </w:pPr>
      <w:r>
        <w:rPr/>
      </w:r>
    </w:p>
    <w:p>
      <w:pPr>
        <w:pStyle w:val="BodyTextIndent"/>
        <w:rPr/>
      </w:pPr>
      <w:r>
        <w:rPr/>
        <w:t>Given the load and resource forecast for the operating day of January 2, 2001 the CAISO has found resource deficiencies in California from hour-ending 0600 to 2200 ranging from 19 MW to 3,534 MW.  In addition, the California ISO has found a deficiency in Northern California resources for every hour of the operating day, ranging from 1,972 MW to 4,970 MW.</w:t>
      </w:r>
    </w:p>
    <w:p>
      <w:pPr>
        <w:pStyle w:val="BodyTextIndent"/>
        <w:rPr/>
      </w:pPr>
      <w:r>
        <w:rPr/>
      </w:r>
    </w:p>
    <w:p>
      <w:pPr>
        <w:pStyle w:val="Heading1"/>
        <w:numPr>
          <w:ilvl w:val="0"/>
          <w:numId w:val="3"/>
        </w:numPr>
        <w:rPr/>
      </w:pPr>
      <w:r>
        <w:rPr/>
        <w:t>Persistent Conditions Causing Deficiency and Requiring Certification</w:t>
      </w:r>
    </w:p>
    <w:p>
      <w:pPr>
        <w:pStyle w:val="Normal"/>
        <w:rPr/>
      </w:pPr>
      <w:r>
        <w:rPr/>
      </w:r>
    </w:p>
    <w:p>
      <w:pPr>
        <w:pStyle w:val="Header"/>
        <w:tabs>
          <w:tab w:val="clear" w:pos="4320"/>
          <w:tab w:val="clear" w:pos="8640"/>
        </w:tabs>
        <w:ind w:start="360" w:end="0"/>
        <w:rPr>
          <w:rFonts w:ascii="Arial Narrow" w:hAnsi="Arial Narrow" w:cs="Arial Narrow"/>
        </w:rPr>
      </w:pPr>
      <w:r>
        <w:rPr>
          <w:rFonts w:cs="Arial Narrow" w:ascii="Arial Narrow" w:hAnsi="Arial Narrow"/>
        </w:rPr>
        <w:t>While current load levels are typical for this season, over the past month resources have become increasingly unavailable.  This trend is anticipated to continue.  Moreover, any contingency (e.g., transmission outage or generation outage) could trigger an immediate emergency.  The underlying and continuing conditions are identified below:</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Continuing Transmission Constraint on Path 15</w:t>
      </w:r>
      <w:r>
        <w:rPr>
          <w:rFonts w:cs="Arial Narrow" w:ascii="Arial Narrow" w:hAnsi="Arial Narrow"/>
        </w:rPr>
        <w:t xml:space="preserve">: Due to the locational dispersion of resources in California, the CAISO must transmit power from generation capacity in Southern California to Northern California to meet Northern California load. Path 15 has been and will continue to be fully loaded and therefore, no additional power can be transmitted North (where there continues to be a deficiency). </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ind w:start="360" w:end="0"/>
        <w:rPr>
          <w:rFonts w:ascii="Arial Narrow" w:hAnsi="Arial Narrow" w:cs="Arial Narrow"/>
          <w:b/>
          <w:i/>
          <w:i/>
        </w:rPr>
      </w:pPr>
      <w:r>
        <w:rPr>
          <w:rFonts w:cs="Arial Narrow" w:ascii="Arial Narrow" w:hAnsi="Arial Narrow"/>
          <w:b/>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Limited Hydroelectric Generation in both Northern California and the Northwest. </w:t>
      </w:r>
      <w:r>
        <w:rPr>
          <w:rFonts w:cs="Arial Narrow" w:ascii="Arial Narrow" w:hAnsi="Arial Narrow"/>
        </w:rPr>
        <w:t>These resources are and will continue to be limited due to low water levels and related environmental restrictions.</w:t>
      </w:r>
    </w:p>
    <w:p>
      <w:pPr>
        <w:pStyle w:val="Header"/>
        <w:tabs>
          <w:tab w:val="clear" w:pos="4320"/>
          <w:tab w:val="clear" w:pos="8640"/>
        </w:tabs>
        <w:ind w:start="360" w:end="0"/>
        <w:rPr>
          <w:rFonts w:ascii="Arial Narrow" w:hAnsi="Arial Narrow" w:eastAsia="Arial Narrow" w:cs="Arial Narrow"/>
        </w:rPr>
      </w:pPr>
      <w:r>
        <w:rPr>
          <w:rFonts w:eastAsia="Arial Narrow" w:cs="Arial Narrow" w:ascii="Arial Narrow" w:hAnsi="Arial Narrow"/>
        </w:rPr>
        <w:t xml:space="preserve"> </w:t>
      </w:r>
    </w:p>
    <w:p>
      <w:pPr>
        <w:pStyle w:val="Header"/>
        <w:tabs>
          <w:tab w:val="clear" w:pos="4320"/>
          <w:tab w:val="clear" w:pos="8640"/>
        </w:tabs>
        <w:ind w:firstLine="720" w:start="144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Redaction -- market sensitive information</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Extensive Generating Unit Outages</w:t>
      </w:r>
      <w:r>
        <w:rPr>
          <w:rFonts w:cs="Arial Narrow" w:ascii="Arial Narrow" w:hAnsi="Arial Narrow"/>
        </w:rPr>
        <w:t>: These outages include both planned and unplanned outages. This higher than normal unplanned outage rate is due to (a) mechanical failures caused by high usage rates on aging generation units in California and (b) environmental constraints including emissions limits. While the level of unplanned outages has decreased in the last several days, the megawatt-amount of planned outages has increased in comparison to recent days.  These levels are expected to continue for the next several months with much needed repairs being made to units that have run for an exceptional number of hours. These scheduled outages cannot be deferred because these units must be readied for the upcoming summer. Thus, there is and will continue to be for the foreseeable future, a large amount of California generation unavailable.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start="216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Limitations on Supply to California due to Uncertainty of Cost Recovery.  </w:t>
      </w:r>
      <w:r>
        <w:rPr>
          <w:rFonts w:cs="Arial Narrow" w:ascii="Arial Narrow" w:hAnsi="Arial Narrow"/>
        </w:rPr>
        <w:t>The main source of uncertainty is whether the affected regulatory agencies will permit full  recovery of costs incurred by the ISO and the IOUs.. These concerns have resulted in parties’ unwillingness to sell to California absent resolution of this issue.</w:t>
      </w:r>
    </w:p>
    <w:p>
      <w:pPr>
        <w:pStyle w:val="Header"/>
        <w:tabs>
          <w:tab w:val="clear" w:pos="4320"/>
          <w:tab w:val="clear" w:pos="8640"/>
        </w:tabs>
        <w:rPr>
          <w:rFonts w:ascii="Arial Narrow" w:hAnsi="Arial Narrow" w:cs="Arial Narrow"/>
          <w:b/>
        </w:rPr>
      </w:pPr>
      <w:r>
        <w:rPr>
          <w:rFonts w:cs="Arial Narrow" w:ascii="Arial Narrow" w:hAnsi="Arial Narrow"/>
          <w:b/>
        </w:rPr>
      </w:r>
    </w:p>
    <w:p>
      <w:pPr>
        <w:pStyle w:val="Header"/>
        <w:tabs>
          <w:tab w:val="clear" w:pos="4320"/>
          <w:tab w:val="clear" w:pos="8640"/>
        </w:tabs>
        <w:ind w:start="216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Contractual Limitations on Access to QF Resources:</w:t>
      </w:r>
      <w:r>
        <w:rPr>
          <w:rFonts w:cs="Arial Narrow" w:ascii="Arial Narrow" w:hAnsi="Arial Narrow"/>
        </w:rPr>
        <w:t xml:space="preserve"> The operation of Northern California QF capacity cannot be maximized for the purpose of addressing either the control area supply shortage or the Path 15 overloads.  Instead, these resources have been cycled off and on daily, in accordance with the terms of their power purchase agreements.  These QFs do not typically ramp to full output until noon each day or shortly thereafter.  While not at full output, Path 15 mitigation is suboptimal and overloads are more difficult to manage.  These Northern California QF resources must be base loaded around the clock to assist in mitigating Path 15 overloads.  PG&amp;E has indicated its inability to get these resources to respond under the confines of their existing contracts.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ing1"/>
        <w:ind w:hanging="0" w:start="0"/>
        <w:rPr/>
      </w:pPr>
      <w:r>
        <w:rPr/>
        <w:t>SUMMARY</w:t>
      </w:r>
    </w:p>
    <w:p>
      <w:pPr>
        <w:pStyle w:val="Normal"/>
        <w:rPr/>
      </w:pPr>
      <w:r>
        <w:rPr/>
      </w:r>
    </w:p>
    <w:p>
      <w:pPr>
        <w:pStyle w:val="Header"/>
        <w:tabs>
          <w:tab w:val="clear" w:pos="4320"/>
          <w:tab w:val="clear" w:pos="8640"/>
        </w:tabs>
        <w:rPr>
          <w:rFonts w:ascii="Arial Narrow" w:hAnsi="Arial Narrow" w:cs="Arial Narrow"/>
        </w:rPr>
      </w:pPr>
      <w:r>
        <w:rPr>
          <w:rFonts w:cs="Arial Narrow" w:ascii="Arial Narrow" w:hAnsi="Arial Narrow"/>
        </w:rPr>
        <w:t>We do not expect an improvement in the conditions described above, short of a significant reduction in the demand for electricity and/or the return of a significant amount of generating capacity. While parties to date have delivered power in response to the CAISO’s prior certifications, the response to these certifications has varied. Finally, the CAISO remains very concerned about its ability to contract for necessary power supplies.  Thus, the conditions that motivated the certification for December 28, 2000 persist and warrant renewed certification.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rPr>
    </w:pPr>
    <w:r>
      <w:rPr>
        <w:rFonts w:cs="Arial Narrow" w:ascii="Arial Narrow" w:hAnsi="Arial Narrow"/>
      </w:rPr>
      <w:t>California ISO</w:t>
    </w:r>
  </w:p>
  <w:p>
    <w:pPr>
      <w:pStyle w:val="Footer"/>
      <w:rPr/>
    </w:pPr>
    <w:r>
      <w:rPr>
        <w:rFonts w:cs="Arial Narrow" w:ascii="Arial Narrow" w:hAnsi="Arial Narrow"/>
      </w:rPr>
      <w:t>01/01/01</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Narrow" w:ascii="Arial Narrow" w:hAnsi="Arial Narrow"/>
        </w:rPr>
        <w:t>The total load forecast in Attachment A includes the load forecast and the reserve requirements necessary to reliably serve that load.</w:t>
      </w:r>
    </w:p>
  </w:footnote>
  <w:footnote w:id="3">
    <w:p>
      <w:pPr>
        <w:pStyle w:val="FootnoteText"/>
        <w:rPr/>
      </w:pPr>
      <w:r>
        <w:rPr>
          <w:rStyle w:val="FootnoteCharacters"/>
        </w:rPr>
        <w:footnoteRef/>
      </w:r>
      <w:r>
        <w:rPr>
          <w:rStyle w:val="FootnoteCharacters"/>
          <w:rFonts w:cs="Arial Narrow" w:ascii="Arial Narrow" w:hAnsi="Arial Narrow"/>
        </w:rPr>
        <w:t xml:space="preserve"> </w:t>
      </w:r>
      <w:r>
        <w:rPr>
          <w:rFonts w:cs="Arial Narrow" w:ascii="Arial Narrow" w:hAnsi="Arial Narrow"/>
        </w:rPr>
        <w:t>Scheduled resources are those submitted by Scheduling Coordinators through schedules in the CAISO’s Day-ahead and Hour-ahead markets (the latter is estimated for tomorrow based on historical trends. Operating reserves are also counted in scheduled resources.</w:t>
      </w:r>
    </w:p>
  </w:footnote>
  <w:footnote w:id="4">
    <w:p>
      <w:pPr>
        <w:pStyle w:val="FootnoteText"/>
        <w:rPr/>
      </w:pPr>
      <w:r>
        <w:rPr>
          <w:rStyle w:val="FootnoteCharacters"/>
        </w:rPr>
        <w:footnoteRef/>
      </w:r>
      <w:r>
        <w:rPr/>
        <w:t xml:space="preserve"> </w:t>
      </w:r>
      <w:r>
        <w:rPr>
          <w:rFonts w:cs="Arial Narrow" w:ascii="Arial Narrow" w:hAnsi="Arial Narrow"/>
        </w:rPr>
        <w:t>Real-time resources include forecasted capacity expected to be bid into the supplemental and replacement reserve markets. This forecast is based on historical volumes and trended based on the last few weeks of market operation.</w:t>
      </w:r>
    </w:p>
  </w:footnote>
  <w:footnote w:id="5">
    <w:p>
      <w:pPr>
        <w:pStyle w:val="FootnoteText"/>
        <w:rPr/>
      </w:pPr>
      <w:r>
        <w:rPr>
          <w:rStyle w:val="FootnoteCharacters"/>
        </w:rPr>
        <w:footnoteRef/>
      </w:r>
      <w:r>
        <w:rPr/>
        <w:t xml:space="preserve"> </w:t>
      </w:r>
      <w:r>
        <w:rPr>
          <w:rFonts w:cs="Arial Narrow" w:ascii="Arial Narrow" w:hAnsi="Arial Narrow"/>
        </w:rPr>
        <w:t>Other Resources include Out-of-market arrangements with parties in and out-of the CAISO Control area. These forecasts are based on recent experience and on phone calls made to numerous parties who have provided OOM in the past.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tab/>
      <w:tab/>
      <w:t>Document Contains Proprietary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Narrow" w:hAnsi="Arial Narrow" w:cs="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Narrow" w:hAnsi="Arial Narrow" w:cs="Arial Narrow"/>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2001-01-01T21:47:00Z</dcterms:created>
  <dc:creator>ESchmid</dc:creator>
  <dc:description/>
  <dc:language>en-CA</dc:language>
  <cp:lastModifiedBy>JMcClain</cp:lastModifiedBy>
  <cp:lastPrinted>2001-01-01T16:11:00Z</cp:lastPrinted>
  <dcterms:modified xsi:type="dcterms:W3CDTF">2001-01-01T21:47:00Z</dcterms:modified>
  <cp:revision>2</cp:revision>
  <dc:subject/>
  <dc:title>Attachment A:</dc:title>
</cp:coreProperties>
</file>