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jc w:val="both"/>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jc w:val="both"/>
        <w:rPr/>
      </w:pPr>
      <w:r>
        <w:rPr/>
      </w:r>
    </w:p>
    <w:tbl>
      <w:tblPr>
        <w:tblW w:w="10710" w:type="dxa"/>
        <w:jc w:val="start"/>
        <w:tblInd w:w="198" w:type="dxa"/>
        <w:tblLayout w:type="fixed"/>
        <w:tblCellMar>
          <w:top w:w="0" w:type="dxa"/>
          <w:start w:w="108" w:type="dxa"/>
          <w:bottom w:w="0" w:type="dxa"/>
          <w:end w:w="108" w:type="dxa"/>
        </w:tblCellMar>
      </w:tblPr>
      <w:tblGrid>
        <w:gridCol w:w="900"/>
        <w:gridCol w:w="5490"/>
        <w:gridCol w:w="1355"/>
        <w:gridCol w:w="2965"/>
      </w:tblGrid>
      <w:tr>
        <w:trPr>
          <w:trHeight w:val="308" w:hRule="atLeast"/>
        </w:trPr>
        <w:tc>
          <w:tcPr>
            <w:tcW w:w="900" w:type="dxa"/>
            <w:tcBorders/>
          </w:tcPr>
          <w:p>
            <w:pPr>
              <w:pStyle w:val="Normal"/>
              <w:ind w:start="-180" w:end="0"/>
              <w:jc w:val="both"/>
              <w:rPr>
                <w:rFonts w:cs="Arial"/>
                <w:sz w:val="20"/>
              </w:rPr>
            </w:pPr>
            <w:r>
              <w:rPr>
                <w:rFonts w:eastAsia="Arial" w:cs="Arial"/>
                <w:sz w:val="20"/>
              </w:rPr>
              <w:t xml:space="preserve">  </w:t>
            </w:r>
            <w:r>
              <w:rPr>
                <w:rFonts w:cs="Arial"/>
                <w:sz w:val="20"/>
              </w:rPr>
              <w:t>To:</w:t>
            </w:r>
          </w:p>
        </w:tc>
        <w:tc>
          <w:tcPr>
            <w:tcW w:w="5490" w:type="dxa"/>
            <w:tcBorders/>
          </w:tcPr>
          <w:p>
            <w:pPr>
              <w:pStyle w:val="To"/>
              <w:rPr>
                <w:rFonts w:cs="Arial"/>
              </w:rPr>
            </w:pPr>
            <w:r>
              <w:rPr>
                <w:rFonts w:cs="Arial"/>
              </w:rPr>
              <w:t>Louise Kitchen</w:t>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Normal"/>
              <w:snapToGrid w:val="false"/>
              <w:jc w:val="both"/>
              <w:rPr>
                <w:rFonts w:cs="Arial"/>
                <w:sz w:val="20"/>
              </w:rPr>
            </w:pPr>
            <w:r>
              <w:rPr>
                <w:rFonts w:cs="Arial"/>
                <w:sz w:val="20"/>
              </w:rPr>
            </w:r>
          </w:p>
        </w:tc>
      </w:tr>
      <w:tr>
        <w:trPr>
          <w:trHeight w:val="300" w:hRule="exact"/>
        </w:trPr>
        <w:tc>
          <w:tcPr>
            <w:tcW w:w="900" w:type="dxa"/>
            <w:tcBorders/>
          </w:tcPr>
          <w:p>
            <w:pPr>
              <w:pStyle w:val="Normal"/>
              <w:snapToGrid w:val="false"/>
              <w:ind w:start="-180" w:end="0"/>
              <w:jc w:val="both"/>
              <w:rPr>
                <w:rFonts w:cs="Arial"/>
                <w:sz w:val="20"/>
              </w:rPr>
            </w:pPr>
            <w:r>
              <w:rPr>
                <w:rFonts w:cs="Arial"/>
                <w:sz w:val="20"/>
              </w:rPr>
            </w:r>
          </w:p>
        </w:tc>
        <w:tc>
          <w:tcPr>
            <w:tcW w:w="5490" w:type="dxa"/>
            <w:tcBorders/>
          </w:tcPr>
          <w:p>
            <w:pPr>
              <w:pStyle w:val="From"/>
              <w:snapToGrid w:val="false"/>
              <w:jc w:val="both"/>
              <w:rPr>
                <w:rFonts w:cs="Arial"/>
                <w:sz w:val="20"/>
              </w:rPr>
            </w:pPr>
            <w:r>
              <w:rPr>
                <w:rFonts w:cs="Arial"/>
                <w:sz w:val="20"/>
              </w:rPr>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Department"/>
              <w:snapToGrid w:val="false"/>
              <w:jc w:val="both"/>
              <w:rPr>
                <w:rFonts w:cs="Arial"/>
                <w:sz w:val="20"/>
              </w:rPr>
            </w:pPr>
            <w:r>
              <w:rPr>
                <w:rFonts w:cs="Arial"/>
                <w:sz w:val="20"/>
              </w:rPr>
            </w:r>
          </w:p>
        </w:tc>
      </w:tr>
      <w:tr>
        <w:trPr>
          <w:trHeight w:val="300" w:hRule="exact"/>
        </w:trPr>
        <w:tc>
          <w:tcPr>
            <w:tcW w:w="900" w:type="dxa"/>
            <w:tcBorders/>
          </w:tcPr>
          <w:p>
            <w:pPr>
              <w:pStyle w:val="Normal"/>
              <w:ind w:start="-180" w:end="0"/>
              <w:jc w:val="both"/>
              <w:rPr>
                <w:rFonts w:cs="Arial"/>
                <w:sz w:val="20"/>
              </w:rPr>
            </w:pPr>
            <w:r>
              <w:rPr>
                <w:rFonts w:eastAsia="Arial" w:cs="Arial"/>
                <w:sz w:val="20"/>
              </w:rPr>
              <w:t xml:space="preserve">  </w:t>
            </w:r>
            <w:r>
              <w:rPr>
                <w:rFonts w:cs="Arial"/>
                <w:sz w:val="20"/>
              </w:rPr>
              <w:t>From:</w:t>
            </w:r>
          </w:p>
        </w:tc>
        <w:tc>
          <w:tcPr>
            <w:tcW w:w="5490" w:type="dxa"/>
            <w:tcBorders/>
          </w:tcPr>
          <w:p>
            <w:pPr>
              <w:pStyle w:val="From"/>
              <w:jc w:val="both"/>
              <w:rPr>
                <w:rFonts w:cs="Arial"/>
              </w:rPr>
            </w:pPr>
            <w:r>
              <w:rPr>
                <w:rFonts w:cs="Arial"/>
              </w:rPr>
              <w:t>Jeff Hodge</w:t>
            </w:r>
          </w:p>
        </w:tc>
        <w:tc>
          <w:tcPr>
            <w:tcW w:w="1355" w:type="dxa"/>
            <w:tcBorders/>
          </w:tcPr>
          <w:p>
            <w:pPr>
              <w:pStyle w:val="Normal"/>
              <w:ind w:start="-180" w:end="0"/>
              <w:jc w:val="both"/>
              <w:rPr>
                <w:rFonts w:cs="Arial"/>
                <w:sz w:val="20"/>
              </w:rPr>
            </w:pPr>
            <w:r>
              <w:rPr>
                <w:rFonts w:eastAsia="Arial" w:cs="Arial"/>
                <w:sz w:val="20"/>
              </w:rPr>
              <w:t xml:space="preserve">  </w:t>
            </w:r>
            <w:r>
              <w:rPr>
                <w:rFonts w:cs="Arial"/>
                <w:sz w:val="20"/>
              </w:rPr>
              <w:t>Department:</w:t>
            </w:r>
          </w:p>
        </w:tc>
        <w:tc>
          <w:tcPr>
            <w:tcW w:w="2965" w:type="dxa"/>
            <w:tcBorders/>
          </w:tcPr>
          <w:p>
            <w:pPr>
              <w:pStyle w:val="Department"/>
              <w:jc w:val="both"/>
              <w:rPr>
                <w:rFonts w:cs="Arial"/>
              </w:rPr>
            </w:pPr>
            <w:bookmarkStart w:id="0" w:name="From"/>
            <w:bookmarkEnd w:id="0"/>
            <w:r>
              <w:rPr>
                <w:rFonts w:cs="Arial"/>
              </w:rPr>
              <w:t>ENA - Legal</w:t>
            </w:r>
          </w:p>
        </w:tc>
      </w:tr>
      <w:tr>
        <w:trPr>
          <w:trHeight w:val="216" w:hRule="exact"/>
        </w:trPr>
        <w:tc>
          <w:tcPr>
            <w:tcW w:w="900" w:type="dxa"/>
            <w:tcBorders/>
          </w:tcPr>
          <w:p>
            <w:pPr>
              <w:pStyle w:val="Normal"/>
              <w:snapToGrid w:val="false"/>
              <w:ind w:start="-180" w:end="0"/>
              <w:jc w:val="both"/>
              <w:rPr>
                <w:rFonts w:cs="Arial"/>
                <w:sz w:val="20"/>
              </w:rPr>
            </w:pPr>
            <w:r>
              <w:rPr>
                <w:rFonts w:cs="Arial"/>
                <w:sz w:val="20"/>
              </w:rPr>
            </w:r>
          </w:p>
        </w:tc>
        <w:tc>
          <w:tcPr>
            <w:tcW w:w="5490" w:type="dxa"/>
            <w:tcBorders/>
          </w:tcPr>
          <w:p>
            <w:pPr>
              <w:pStyle w:val="Subject"/>
              <w:tabs>
                <w:tab w:val="left" w:pos="540" w:leader="none"/>
              </w:tabs>
              <w:snapToGrid w:val="false"/>
              <w:jc w:val="both"/>
              <w:rPr>
                <w:rFonts w:cs="Arial"/>
                <w:sz w:val="20"/>
              </w:rPr>
            </w:pPr>
            <w:r>
              <w:rPr>
                <w:rFonts w:cs="Arial"/>
                <w:sz w:val="20"/>
              </w:rPr>
            </w:r>
          </w:p>
        </w:tc>
        <w:tc>
          <w:tcPr>
            <w:tcW w:w="1355" w:type="dxa"/>
            <w:tcBorders/>
          </w:tcPr>
          <w:p>
            <w:pPr>
              <w:pStyle w:val="Normal"/>
              <w:snapToGrid w:val="false"/>
              <w:ind w:start="-180" w:end="0"/>
              <w:jc w:val="both"/>
              <w:rPr>
                <w:rFonts w:cs="Arial"/>
                <w:sz w:val="20"/>
              </w:rPr>
            </w:pPr>
            <w:r>
              <w:rPr>
                <w:rFonts w:cs="Arial"/>
                <w:sz w:val="20"/>
              </w:rPr>
            </w:r>
          </w:p>
        </w:tc>
        <w:tc>
          <w:tcPr>
            <w:tcW w:w="2965" w:type="dxa"/>
            <w:tcBorders/>
          </w:tcPr>
          <w:p>
            <w:pPr>
              <w:pStyle w:val="Normal"/>
              <w:snapToGrid w:val="false"/>
              <w:jc w:val="both"/>
              <w:rPr>
                <w:rFonts w:cs="Arial"/>
                <w:sz w:val="20"/>
              </w:rPr>
            </w:pPr>
            <w:r>
              <w:rPr>
                <w:rFonts w:cs="Arial"/>
                <w:sz w:val="20"/>
              </w:rPr>
            </w:r>
          </w:p>
        </w:tc>
      </w:tr>
      <w:tr>
        <w:trPr>
          <w:trHeight w:val="600" w:hRule="exact"/>
        </w:trPr>
        <w:tc>
          <w:tcPr>
            <w:tcW w:w="900" w:type="dxa"/>
            <w:tcBorders>
              <w:bottom w:val="single" w:sz="12" w:space="0" w:color="000000"/>
            </w:tcBorders>
          </w:tcPr>
          <w:p>
            <w:pPr>
              <w:pStyle w:val="Normal"/>
              <w:ind w:start="-180" w:end="0"/>
              <w:jc w:val="both"/>
              <w:rPr>
                <w:rFonts w:cs="Arial"/>
                <w:sz w:val="20"/>
              </w:rPr>
            </w:pPr>
            <w:r>
              <w:rPr>
                <w:rFonts w:eastAsia="Arial" w:cs="Arial"/>
                <w:sz w:val="20"/>
              </w:rPr>
              <w:t xml:space="preserve">  </w:t>
            </w:r>
            <w:r>
              <w:rPr>
                <w:rFonts w:cs="Arial"/>
                <w:sz w:val="20"/>
              </w:rPr>
              <w:t>Subject:</w:t>
            </w:r>
          </w:p>
        </w:tc>
        <w:tc>
          <w:tcPr>
            <w:tcW w:w="5490" w:type="dxa"/>
            <w:tcBorders>
              <w:bottom w:val="single" w:sz="12" w:space="0" w:color="000000"/>
            </w:tcBorders>
          </w:tcPr>
          <w:p>
            <w:pPr>
              <w:pStyle w:val="Subject"/>
              <w:rPr>
                <w:rFonts w:cs="Arial"/>
              </w:rPr>
            </w:pPr>
            <w:r>
              <w:rPr>
                <w:rFonts w:cs="Arial"/>
              </w:rPr>
              <w:t>NETCO – Immediate Contracts</w:t>
            </w:r>
          </w:p>
        </w:tc>
        <w:tc>
          <w:tcPr>
            <w:tcW w:w="1355" w:type="dxa"/>
            <w:tcBorders>
              <w:bottom w:val="single" w:sz="12" w:space="0" w:color="000000"/>
            </w:tcBorders>
          </w:tcPr>
          <w:p>
            <w:pPr>
              <w:pStyle w:val="Normal"/>
              <w:ind w:start="-180" w:end="0"/>
              <w:jc w:val="both"/>
              <w:rPr>
                <w:rFonts w:cs="Arial"/>
                <w:sz w:val="20"/>
              </w:rPr>
            </w:pPr>
            <w:r>
              <w:rPr>
                <w:rFonts w:eastAsia="Arial" w:cs="Arial"/>
                <w:sz w:val="20"/>
              </w:rPr>
              <w:t xml:space="preserve">  </w:t>
            </w:r>
            <w:r>
              <w:rPr>
                <w:rFonts w:cs="Arial"/>
                <w:sz w:val="20"/>
              </w:rPr>
              <w:t>Date:</w:t>
            </w:r>
          </w:p>
        </w:tc>
        <w:tc>
          <w:tcPr>
            <w:tcW w:w="2965" w:type="dxa"/>
            <w:tcBorders>
              <w:bottom w:val="single" w:sz="12" w:space="0" w:color="000000"/>
            </w:tcBorders>
          </w:tcPr>
          <w:p>
            <w:pPr>
              <w:pStyle w:val="Date"/>
              <w:jc w:val="both"/>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jc w:val="both"/>
        <w:rPr/>
      </w:pPr>
      <w:r>
        <w:rPr/>
      </w:r>
      <w:bookmarkStart w:id="1" w:name="StartOfMemo"/>
      <w:bookmarkStart w:id="2" w:name="StartOfMemo"/>
      <w:bookmarkEnd w:id="2"/>
    </w:p>
    <w:p>
      <w:pPr>
        <w:pStyle w:val="Body"/>
        <w:spacing w:before="0" w:after="120"/>
        <w:ind w:firstLine="720" w:start="0" w:end="0"/>
        <w:jc w:val="both"/>
        <w:rPr/>
      </w:pPr>
      <w:r>
        <w:rPr/>
        <w:t>In response to your request for a list of ancillary contracts that would be needed to start up physical gas trading, you should be advised that, in general, the contracts would fall into two categories.  The categories are as follows:</w:t>
      </w:r>
    </w:p>
    <w:p>
      <w:pPr>
        <w:pStyle w:val="Body"/>
        <w:numPr>
          <w:ilvl w:val="0"/>
          <w:numId w:val="2"/>
        </w:numPr>
        <w:spacing w:before="0" w:after="120"/>
        <w:jc w:val="both"/>
        <w:rPr/>
      </w:pPr>
      <w:r>
        <w:rPr>
          <w:u w:val="single"/>
        </w:rPr>
        <w:t>Pipeline Pooling Arrangements</w:t>
      </w:r>
      <w:r>
        <w:rPr/>
        <w:t xml:space="preserve"> –It will be necessary to have pooling agreements on all pipelines on which we expect to take or give physical delivery.  These are not difficult to put in place. </w:t>
      </w:r>
    </w:p>
    <w:p>
      <w:pPr>
        <w:pStyle w:val="Body"/>
        <w:numPr>
          <w:ilvl w:val="0"/>
          <w:numId w:val="2"/>
        </w:numPr>
        <w:spacing w:before="0" w:after="120"/>
        <w:jc w:val="both"/>
        <w:rPr/>
      </w:pPr>
      <w:r>
        <w:rPr>
          <w:u w:val="single"/>
        </w:rPr>
        <w:t>Interruptible Transportation Agreements</w:t>
      </w:r>
      <w:r>
        <w:rPr/>
        <w:t xml:space="preserve"> – Some of the pipeline pooling arrangements will require that there be interruptible transportation agreements on the same pipelines.  Again, these are not difficult to put in place.</w:t>
      </w:r>
    </w:p>
    <w:p>
      <w:pPr>
        <w:pStyle w:val="Body"/>
        <w:spacing w:before="0" w:after="120"/>
        <w:ind w:firstLine="720" w:start="0" w:end="0"/>
        <w:jc w:val="both"/>
        <w:rPr/>
      </w:pPr>
      <w:r>
        <w:rPr/>
        <w:t>The total number of the two groups of agreements needed will be determined by the number of pipelines on which you expect to buy and sell.  At the appropriate time, we can visit with the trading desks to determine exactly what will be needed, but negotiating these agreements should not be too difficult.</w:t>
      </w:r>
    </w:p>
    <w:p>
      <w:pPr>
        <w:pStyle w:val="Body"/>
        <w:ind w:firstLine="720" w:start="0" w:end="0"/>
        <w:jc w:val="both"/>
        <w:rPr/>
      </w:pPr>
      <w:r>
        <w:rPr/>
        <w:t>I trust the foregoing meets your current needs.  Should you have any questions or comments, please contact me at your convenience.</w:t>
      </w:r>
    </w:p>
    <w:p>
      <w:pPr>
        <w:pStyle w:val="Body"/>
        <w:ind w:start="0" w:end="0"/>
        <w:jc w:val="both"/>
        <w:rPr/>
      </w:pPr>
      <w:r>
        <w:rPr/>
      </w:r>
    </w:p>
    <w:p>
      <w:pPr>
        <w:pStyle w:val="Body"/>
        <w:ind w:start="0" w:end="0"/>
        <w:jc w:val="both"/>
        <w:rPr/>
      </w:pPr>
      <w:r>
        <w:rPr/>
      </w:r>
    </w:p>
    <w:p>
      <w:pPr>
        <w:pStyle w:val="Body"/>
        <w:ind w:start="0" w:end="0"/>
        <w:jc w:val="both"/>
        <w:rPr/>
      </w:pPr>
      <w:r>
        <w:rPr/>
      </w:r>
    </w:p>
    <w:p>
      <w:pPr>
        <w:pStyle w:val="Body"/>
        <w:ind w:start="0" w:end="0"/>
        <w:jc w:val="both"/>
        <w:rPr/>
      </w:pPr>
      <w:r>
        <w:rPr/>
        <w:t>cc:</w:t>
        <w:tab/>
        <w:t>Mark Taylor</w:t>
      </w:r>
    </w:p>
    <w:p>
      <w:pPr>
        <w:pStyle w:val="Body"/>
        <w:ind w:start="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/mnt/main-storage/datasets/enron-docs/doc/01002_NETCO.doc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Heading1"/>
                      <w:rPr/>
                    </w:pPr>
                    <w:r>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3">
    <w:name w:val="heading 3"/>
    <w:basedOn w:val="Normal"/>
    <w:next w:val="NormalIndent"/>
    <w:qFormat/>
    <w:pPr>
      <w:numPr>
        <w:ilvl w:val="2"/>
        <w:numId w:val="1"/>
      </w:numPr>
      <w:ind w:hanging="0" w:start="360" w:end="0"/>
      <w:outlineLvl w:val="2"/>
    </w:pPr>
    <w:rPr>
      <w:rFonts w:ascii="CG Times;Times New Roman" w:hAnsi="CG Times;Times New Roman" w:cs="CG Times;Times New Roman"/>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720" w:leader="none"/>
      </w:tabs>
      <w:overflowPunct w:val="true"/>
      <w:autoSpaceDE w:val="true"/>
      <w:ind w:hanging="0" w:start="720" w:end="0"/>
      <w:jc w:val="both"/>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2002-01-02T19:53:00Z</dcterms:created>
  <dc:creator>protmp3</dc:creator>
  <dc:description/>
  <dc:language>en-CA</dc:language>
  <cp:lastModifiedBy>jrozycki</cp:lastModifiedBy>
  <cp:lastPrinted>2002-01-02T16:32:00Z</cp:lastPrinted>
  <dcterms:modified xsi:type="dcterms:W3CDTF">2002-01-02T20:03:00Z</dcterms:modified>
  <cp:revision>3</cp:revision>
  <dc:subject/>
  <dc:title>Better, Faster, Simpler Memo </dc:title>
</cp:coreProperties>
</file>