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9.xml" ContentType="application/vnd.openxmlformats-officedocument.wordprocessingml.header+xml"/>
  <Override PartName="/word/header28.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0.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header21.xml" ContentType="application/vnd.openxmlformats-officedocument.wordprocessingml.head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footer17.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1.xml" ContentType="application/vnd.openxmlformats-officedocument.wordprocessingml.header+xml"/>
  <Override PartName="/word/header25.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document.xml" ContentType="application/vnd.openxmlformats-officedocument.wordprocessingml.document.main+xml"/>
  <Override PartName="/word/header14.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37.xml" ContentType="application/vnd.openxmlformats-officedocument.wordprocessingml.footer+xml"/>
  <Override PartName="/word/header30.xml" ContentType="application/vnd.openxmlformats-officedocument.wordprocessingml.header+xml"/>
  <Override PartName="/word/footer39.xml" ContentType="application/vnd.openxmlformats-officedocument.wordprocessingml.footer+xml"/>
  <Override PartName="/word/header32.xml" ContentType="application/vnd.openxmlformats-officedocument.wordprocessingml.header+xml"/>
  <Override PartName="/word/header31.xml" ContentType="application/vnd.openxmlformats-officedocument.wordprocessingml.header+xml"/>
  <Override PartName="/word/footer38.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30.xml" ContentType="application/vnd.openxmlformats-officedocument.wordprocessingml.footer+xml"/>
  <Override PartName="/word/header36.xml" ContentType="application/vnd.openxmlformats-officedocument.wordprocessingml.header+xml"/>
  <Override PartName="/word/footer31.xml" ContentType="application/vnd.openxmlformats-officedocument.wordprocessingml.footer+xml"/>
  <Override PartName="/word/header19.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header44.xml" ContentType="application/vnd.openxmlformats-officedocument.wordprocessingml.header+xml"/>
  <Override PartName="/word/footer35.xml" ContentType="application/vnd.openxmlformats-officedocument.wordprocessingml.footer+xml"/>
  <Override PartName="/word/header43.xml" ContentType="application/vnd.openxmlformats-officedocument.wordprocessingml.header+xml"/>
  <Override PartName="/word/footer34.xml" ContentType="application/vnd.openxmlformats-officedocument.wordprocessingml.footer+xml"/>
  <Override PartName="/word/header42.xml" ContentType="application/vnd.openxmlformats-officedocument.wordprocessingml.header+xml"/>
  <Override PartName="/word/footer33.xml" ContentType="application/vnd.openxmlformats-officedocument.wordprocessingml.footer+xml"/>
  <Override PartName="/word/header41.xml" ContentType="application/vnd.openxmlformats-officedocument.wordprocessingml.header+xml"/>
  <Override PartName="/word/footer9.xml" ContentType="application/vnd.openxmlformats-officedocument.wordprocessingml.footer+xml"/>
  <Override PartName="/word/footer48.xml" ContentType="application/vnd.openxmlformats-officedocument.wordprocessingml.footer+xml"/>
  <Override PartName="/word/header39.xml" ContentType="application/vnd.openxmlformats-officedocument.wordprocessingml.header+xml"/>
  <Override PartName="/word/numbering.xml" ContentType="application/vnd.openxmlformats-officedocument.wordprocessingml.numbering+xml"/>
  <Override PartName="/word/footer13.xml" ContentType="application/vnd.openxmlformats-officedocument.wordprocessingml.footer+xml"/>
  <Override PartName="/word/settings.xml" ContentType="application/vnd.openxmlformats-officedocument.wordprocessingml.settings+xml"/>
  <Override PartName="/word/header45.xml" ContentType="application/vnd.openxmlformats-officedocument.wordprocessingml.header+xml"/>
  <Override PartName="/word/header46.xml" ContentType="application/vnd.openxmlformats-officedocument.wordprocessingml.header+xml"/>
  <Override PartName="/word/footer32.xml" ContentType="application/vnd.openxmlformats-officedocument.wordprocessingml.footer+xml"/>
  <Override PartName="/word/footer49.xml" ContentType="application/vnd.openxmlformats-officedocument.wordprocessingml.footer+xml"/>
  <Override PartName="/word/header40.xml" ContentType="application/vnd.openxmlformats-officedocument.wordprocessingml.header+xml"/>
  <Override PartName="/word/footer8.xml" ContentType="application/vnd.openxmlformats-officedocument.wordprocessingml.footer+xml"/>
  <Override PartName="/word/footer47.xml" ContentType="application/vnd.openxmlformats-officedocument.wordprocessingml.footer+xml"/>
  <Override PartName="/word/header3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0.xml" ContentType="application/vnd.openxmlformats-officedocument.wordprocessingml.footer+xml"/>
  <Override PartName="/word/header47.xml" ContentType="application/vnd.openxmlformats-officedocument.wordprocessingml.header+xml"/>
  <Override PartName="/word/_rels/document.xml.rels" ContentType="application/vnd.openxmlformats-package.relationships+xml"/>
  <Override PartName="/word/footer4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44.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40.xml" ContentType="application/vnd.openxmlformats-officedocument.wordprocessingml.footer+xml"/>
  <Override PartName="/word/footer7.xml" ContentType="application/vnd.openxmlformats-officedocument.wordprocessingml.footer+xml"/>
  <Override PartName="/word/footer46.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SCHEDULE 3.04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PARENT’S CONTRACTUAL AND OTHER RESTRICTIONS</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NONE</w:t>
      </w:r>
    </w:p>
    <w:p>
      <w:pPr>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SCHEDULE 5.01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 xml:space="preserve">LIST OF SUBJECT COMPANIES, SUBSIDIARIES OF SUBJECT </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COMPANIES AND OPERATING COMPANIES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BodyTextIndent3"/>
        <w:rPr/>
      </w:pPr>
      <w:r>
        <w:rPr/>
        <w:t>Note: We have listed all the of the companies within India Region. The list will require modification if, for example, “inactive” companies are agreed not to be transferred. Also, will “communications companies be transferred – the list assumes that they will. Will the EG&amp;PP companies be transferred? We have indicated briefly the purpose of the company eg its place in any main ownership chain.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following table sets forth with respect to each Business the name of each Subject Company and all the Subsidiaries and Operating Companies included in the related Subject Company Group, together with the nature of its legal organization, the jurisdiction of its organization and the direct and indirect equity investment of the Parent therein (expressed as a percentage):</w:t>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tbl>
      <w:tblPr>
        <w:tblW w:w="13608" w:type="dxa"/>
        <w:jc w:val="start"/>
        <w:tblInd w:w="0" w:type="dxa"/>
        <w:tblLayout w:type="fixed"/>
        <w:tblCellMar>
          <w:top w:w="0" w:type="dxa"/>
          <w:start w:w="108" w:type="dxa"/>
          <w:bottom w:w="0" w:type="dxa"/>
          <w:end w:w="108" w:type="dxa"/>
        </w:tblCellMar>
      </w:tblPr>
      <w:tblGrid>
        <w:gridCol w:w="5238"/>
        <w:gridCol w:w="2700"/>
        <w:gridCol w:w="2250"/>
        <w:gridCol w:w="3420"/>
      </w:tblGrid>
      <w:tr>
        <w:trPr/>
        <w:tc>
          <w:tcPr>
            <w:tcW w:w="5238" w:type="dxa"/>
            <w:tcBorders>
              <w:top w:val="single" w:sz="4" w:space="0" w:color="000000"/>
              <w:start w:val="single" w:sz="4" w:space="0" w:color="000000"/>
              <w:bottom w:val="single" w:sz="4" w:space="0" w:color="000000"/>
              <w:end w:val="single" w:sz="4" w:space="0" w:color="000000"/>
            </w:tcBorders>
            <w:shd w:fill="F2F2F2" w:val="clear"/>
          </w:tcPr>
          <w:p>
            <w:pPr>
              <w:pStyle w:val="Heading1"/>
              <w:ind w:hanging="0" w:start="0"/>
              <w:rPr>
                <w:b/>
              </w:rPr>
            </w:pPr>
            <w:r>
              <w:rPr>
                <w:b/>
              </w:rPr>
              <w:t>Company</w:t>
            </w:r>
          </w:p>
          <w:p>
            <w:pPr>
              <w:pStyle w:val="Normal"/>
              <w:rPr>
                <w:b/>
              </w:rPr>
            </w:pPr>
            <w:r>
              <w:rPr>
                <w:b/>
              </w:rPr>
            </w:r>
          </w:p>
        </w:tc>
        <w:tc>
          <w:tcPr>
            <w:tcW w:w="2700" w:type="dxa"/>
            <w:tcBorders>
              <w:top w:val="single" w:sz="4" w:space="0" w:color="000000"/>
              <w:start w:val="single" w:sz="4" w:space="0" w:color="000000"/>
              <w:bottom w:val="single" w:sz="4" w:space="0" w:color="000000"/>
              <w:end w:val="single" w:sz="4" w:space="0" w:color="000000"/>
            </w:tcBorders>
            <w:shd w:fill="F2F2F2" w:val="clear"/>
          </w:tcPr>
          <w:p>
            <w:pPr>
              <w:pStyle w:val="Normal"/>
              <w:rPr>
                <w:b/>
              </w:rPr>
            </w:pPr>
            <w:r>
              <w:rPr>
                <w:b/>
              </w:rPr>
              <w:t>Type of Entity</w:t>
            </w:r>
          </w:p>
        </w:tc>
        <w:tc>
          <w:tcPr>
            <w:tcW w:w="2250" w:type="dxa"/>
            <w:tcBorders>
              <w:top w:val="single" w:sz="4" w:space="0" w:color="000000"/>
              <w:start w:val="single" w:sz="4" w:space="0" w:color="000000"/>
              <w:bottom w:val="single" w:sz="4" w:space="0" w:color="000000"/>
              <w:end w:val="single" w:sz="4" w:space="0" w:color="000000"/>
            </w:tcBorders>
            <w:shd w:fill="F2F2F2" w:val="clear"/>
          </w:tcPr>
          <w:p>
            <w:pPr>
              <w:pStyle w:val="Normal"/>
              <w:rPr>
                <w:b/>
              </w:rPr>
            </w:pPr>
            <w:r>
              <w:rPr>
                <w:b/>
              </w:rPr>
              <w:t>Jurisdiction</w:t>
            </w:r>
          </w:p>
        </w:tc>
        <w:tc>
          <w:tcPr>
            <w:tcW w:w="3420" w:type="dxa"/>
            <w:tcBorders>
              <w:top w:val="single" w:sz="4" w:space="0" w:color="000000"/>
              <w:start w:val="single" w:sz="4" w:space="0" w:color="000000"/>
              <w:bottom w:val="single" w:sz="4" w:space="0" w:color="000000"/>
              <w:end w:val="single" w:sz="4" w:space="0" w:color="000000"/>
            </w:tcBorders>
            <w:shd w:fill="F2F2F2" w:val="clear"/>
          </w:tcPr>
          <w:p>
            <w:pPr>
              <w:pStyle w:val="Normal"/>
              <w:rPr>
                <w:b/>
              </w:rPr>
            </w:pPr>
            <w:r>
              <w:rPr>
                <w:b/>
              </w:rPr>
              <w:t>Interest</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En-Sonar Haripur Power Limited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Bangladesh</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Owned by Phil Patman and Nasim Khan, Enron employees on behalf on Enron, and not in good standing.</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Atlantic India Holdings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Cayman Islands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ACFI</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BPAC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Cayman Islands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EILLC</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Ennore Holdings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Cayman Islands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EILLC</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Fuels Services Holding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Cayman Islands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EILLC</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India GDR Holdings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Cayman Islands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owned  by Enron Oil &amp; Gas India Ltd., not an Enron India company</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India Holdings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Cayman Islands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OPO.</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India Power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Cayman Islands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EILLC.</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India Telecom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Cayman Islands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EILLC.</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International Bangladesh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Cayman Islands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EILLC.</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International CMI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Cayman Islands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EILLC.</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International Ennore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Cayman Islands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EILLC.</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International Haripur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Cayman Islands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EILLC.</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International India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Cayman Islands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EILLC.</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International North Bengal Holding Co.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Cayman Islands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EILLC.</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International PAL India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Cayman Islands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EILLC.</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India Electric Maintenance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Cayman Islands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EILLC.</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Metgas Dholka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Cayman Islands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Enron Fuels Services Holding Ltd.</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EI Operations Holdings, L.L.C.</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limited liability company</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Delaware</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Enron International Asia Corp, not an Enron India company</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India LLC</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limited liability company</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Delaware</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ACFI.</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India Natural Gas, Inc.</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Delaware</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Enron LNG Development Corp., not an Enron India company</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South Asia LLC</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limited liability company</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Delaware</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EILLC.</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India Power Ventures Inc.</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Delaware</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Enron International Holdings Corp.</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Haripur Holdings B.V.</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Dutch</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EILLC.</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Pipe Gas C.V.</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limited partnership</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 xml:space="preserve">Dutch </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 owned by Enron Haripur Holdings BV (GP) and 99% by India Power Ventures Inc. (LP)</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Reserve II B.V.</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Dutch</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ACFI.</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Offshore Power Operations C.V.</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limited partnership</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Dutch</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0.1% owned by Enron Reserve II BV (GP) and 99.9% by Atlantic India Holdings (LP)</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Offshore Power Production C.V.</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limited partnership</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Dutch</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99.7% owned by Atlantic India Holdings (LP) and 0.3% by Travamark II BV (GP)</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Travamark Two B.V.</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Dutch</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ACFI</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Broadband Solutions Private Limited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India</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 xml:space="preserve">49% owned by Telecom MHC India Ltd. and 51% by 3rd parties in trust for Enron </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Dabhol Power Company</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India</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Issued share capital holding of 50% in DPC but equity capital has been paid against future issue of shares whereby EMC would have appx. 66%.</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Energy Marketing Company Private Limited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India</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 share owned by Enron Fuels Services Holding Ltd. And balance of shares owned by Enron MHC LNG India Ltd.</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India Private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India</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 share owned by Enron International CMI Ltd. and balance of shares by Enron MHC India Development Ltd.</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Gas Authority of  India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India</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Global depositary receipts owned by Enron India GDR Holdings Ltd, which is not owned by an Enron India company (see above)</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Genesys</w:t>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India</w:t>
            </w:r>
          </w:p>
          <w:p>
            <w:pPr>
              <w:pStyle w:val="Normal"/>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Shares owned by Enron Distribution Ventures MHC</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Grid Integrals Investment India Private Limited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India</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Owned  50 % by Piyush Joshi and 50% by Rahul Basu, Enron employees on behalf of Enron</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Maharashtra Energy Company Private Limited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India</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 share owned by Enron Fuels Services Holding Ltd. balance of shares by Enron MHC LNG India Ltd.</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Metropolis Gas Company Private Limited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India</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 share owned by Enron Fuels Services Holding Ltd. and balance of shares by Enron MHC LNG India Ltd.</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Power Technologies Investment India Private Limited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India</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 xml:space="preserve">Owned 50 % by Piyush Joshi and 50% by Rahul Basu, Enron employees on behalf of Enron </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Power Tel Private Limited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 xml:space="preserve">India </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Owned 50% by P. Sreekumar and 50% by Piyush Joshi, Enron employees on behalf of Enron, to be owned by Enron India CDS Holdings Ltd. (40%), Global Telesys (20%) and MSEB (40%),  Not in Enron India chain</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Rediff.com</w:t>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India</w:t>
            </w:r>
          </w:p>
          <w:p>
            <w:pPr>
              <w:pStyle w:val="Normal"/>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Shares owned by EILLC</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EI Operations MHC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Mauritius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EI Operations Holding LLC</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Ennore Energy Company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Mauritius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50% owned by Enron International Ennore Ltd. And 50% by Mitusbishi</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Distribution Ventures MHC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 xml:space="preserve">corporation </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Mauritius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Enron International India Ltd.</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Fuels Services India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Mauritius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Enron Fuels Services Holding Ltd.</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 xml:space="preserve">Enron India CDS Holdings Ltd. </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Mauritius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 xml:space="preserve">100% owned by Enron Communications India I Ltd., not an Enron India company </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India CFH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Mauritius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Enron International India Ltd.</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India Regional Development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Mauritius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Enron International India Ltd.</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International Coastal Development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Mauritius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Enron International India Ltd.</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International Eastern India Operations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Mauritius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Enron International India Ltd.</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International MHC Kannur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Mauritius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Enron International India Ltd.</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International Pipegas MHC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Mauritius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Enron Fuels Services Holding Ltd.</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International Southern India Operations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Mauritius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 xml:space="preserve">100% owned by Enron International India Ltd </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Mauritius Company</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Mauritius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 xml:space="preserve">1.1% owned by Enron India Holdings Ltd. and 98.9% by Offshore Power Production C.V. </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MHC Ennore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Mauritius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Enron Ennore Holdings Ltd.</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MHC Gas Distribution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Mauritius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Enron International India Ltd.</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MHC India Development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Mauritius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Enron International CMI Ltd.</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MHC LNG India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Mauritius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Enron Fuels Services Holding Ltd.</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MHC Tamil Nadu Company</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Mauritius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Enron India Power Ltd.</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Renovation and Modernization MHC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Mauritius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Enron International India Ltd.</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TDE Mauritius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Mauritius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Enron Fuels Services Holding Ltd.</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 xml:space="preserve">Telecom MHC India Ltd. </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Mauritius</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100% owned by Enron India Telecom Ltd.</w:t>
            </w:r>
          </w:p>
          <w:p>
            <w:pPr>
              <w:pStyle w:val="Normal"/>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Overseas Trading Company Ltd.</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corporation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UK</w:t>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t xml:space="preserve">100% owned by Enron Coal Services Ltd., not an Enron India company </w:t>
            </w:r>
          </w:p>
        </w:tc>
      </w:tr>
    </w:tbl>
    <w:p>
      <w:pPr>
        <w:pStyle w:val="Normal"/>
        <w:rPr/>
      </w:pPr>
      <w:r>
        <w:rPr/>
      </w:r>
      <w:r>
        <w:br w:type="page"/>
      </w:r>
    </w:p>
    <w:p>
      <w:pPr>
        <w:sectPr>
          <w:headerReference w:type="default" r:id="rId4"/>
          <w:headerReference w:type="first" r:id="rId5"/>
          <w:footerReference w:type="default" r:id="rId6"/>
          <w:footerReference w:type="first" r:id="rId7"/>
          <w:type w:val="nextPage"/>
          <w:pgSz w:orient="landscape" w:w="16838" w:h="11906"/>
          <w:pgMar w:left="1440" w:right="1440" w:gutter="0" w:header="1440" w:top="1496"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SCHEDULE 5.03</w:t>
      </w:r>
      <w:r>
        <w:rPr/>
        <w:t>(a)</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EQUITY SECURITIES OF EACH SUBJECT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following are the authorized Equity Securities of each Significant Transfer Company, the total outstanding Equity Securities of each Significant Transfer  Company and the outstanding Securities of each Significant Transfer  Company owned by the Parent, in each case as of the date of the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TO BE PROVIDED BY CORP. SECRETARY AND, if applicable, VERIFIED BY ENRON INDIA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tbl>
      <w:tblPr>
        <w:tblW w:w="9360" w:type="dxa"/>
        <w:jc w:val="center"/>
        <w:tblInd w:w="0" w:type="dxa"/>
        <w:tblLayout w:type="fixed"/>
        <w:tblCellMar>
          <w:top w:w="0" w:type="dxa"/>
          <w:start w:w="120" w:type="dxa"/>
          <w:bottom w:w="0" w:type="dxa"/>
          <w:end w:w="120" w:type="dxa"/>
        </w:tblCellMar>
      </w:tblPr>
      <w:tblGrid>
        <w:gridCol w:w="1872"/>
        <w:gridCol w:w="1872"/>
        <w:gridCol w:w="1872"/>
        <w:gridCol w:w="1872"/>
        <w:gridCol w:w="1872"/>
      </w:tblGrid>
      <w:tr>
        <w:trPr/>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clear" w:pos="720"/>
                <w:tab w:val="center" w:pos="81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tab/>
              <w:t xml:space="preserve">Name of </w:t>
            </w:r>
          </w:p>
          <w:p>
            <w:pPr>
              <w:pStyle w:val="Normal"/>
              <w:widowControl/>
              <w:tabs>
                <w:tab w:val="clear" w:pos="720"/>
                <w:tab w:val="center" w:pos="81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tab/>
              <w:t>Subject</w:t>
            </w:r>
          </w:p>
          <w:p>
            <w:pPr>
              <w:pStyle w:val="Normal"/>
              <w:widowControl/>
              <w:tabs>
                <w:tab w:val="clear" w:pos="720"/>
                <w:tab w:val="center" w:pos="81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rPr>
            </w:pPr>
            <w:r>
              <w:rPr>
                <w:b/>
              </w:rPr>
              <w:tab/>
            </w:r>
            <w:r>
              <w:rPr>
                <w:b/>
                <w:u w:val="single"/>
              </w:rPr>
              <w:t>Company</w:t>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rPr>
            </w:pPr>
            <w:r>
              <w:rPr>
                <w:b/>
              </w:rPr>
            </w:r>
          </w:p>
          <w:p>
            <w:pPr>
              <w:pStyle w:val="Normal"/>
              <w:widowControl/>
              <w:tabs>
                <w:tab w:val="clear" w:pos="720"/>
                <w:tab w:val="center" w:pos="81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tab/>
              <w:t>Description</w:t>
            </w:r>
          </w:p>
          <w:p>
            <w:pPr>
              <w:pStyle w:val="Normal"/>
              <w:widowControl/>
              <w:tabs>
                <w:tab w:val="clear" w:pos="720"/>
                <w:tab w:val="center" w:pos="81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tab/>
              <w:t>of Equity</w:t>
            </w:r>
          </w:p>
          <w:p>
            <w:pPr>
              <w:pStyle w:val="Normal"/>
              <w:widowControl/>
              <w:tabs>
                <w:tab w:val="clear" w:pos="720"/>
                <w:tab w:val="center" w:pos="81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rPr>
            </w:pPr>
            <w:r>
              <w:rPr>
                <w:b/>
              </w:rPr>
              <w:tab/>
            </w:r>
            <w:r>
              <w:rPr>
                <w:b/>
                <w:u w:val="single"/>
              </w:rPr>
              <w:t>Securities</w:t>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rPr>
            </w:pPr>
            <w:r>
              <w:rPr>
                <w:b/>
              </w:rPr>
            </w:r>
          </w:p>
          <w:p>
            <w:pPr>
              <w:pStyle w:val="Normal"/>
              <w:widowControl/>
              <w:tabs>
                <w:tab w:val="clear" w:pos="720"/>
                <w:tab w:val="center" w:pos="81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tab/>
              <w:t>Authorized</w:t>
            </w:r>
          </w:p>
          <w:p>
            <w:pPr>
              <w:pStyle w:val="Normal"/>
              <w:widowControl/>
              <w:tabs>
                <w:tab w:val="clear" w:pos="720"/>
                <w:tab w:val="center" w:pos="81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tab/>
              <w:t>Equity</w:t>
            </w:r>
          </w:p>
          <w:p>
            <w:pPr>
              <w:pStyle w:val="Normal"/>
              <w:widowControl/>
              <w:tabs>
                <w:tab w:val="clear" w:pos="720"/>
                <w:tab w:val="center" w:pos="81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rPr>
            </w:pPr>
            <w:r>
              <w:rPr>
                <w:b/>
              </w:rPr>
              <w:tab/>
            </w:r>
            <w:r>
              <w:rPr>
                <w:b/>
                <w:u w:val="single"/>
              </w:rPr>
              <w:t>Securities</w:t>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rPr>
            </w:pPr>
            <w:r>
              <w:rPr>
                <w:b/>
              </w:rPr>
            </w:r>
          </w:p>
          <w:p>
            <w:pPr>
              <w:pStyle w:val="Normal"/>
              <w:widowControl/>
              <w:tabs>
                <w:tab w:val="clear" w:pos="720"/>
                <w:tab w:val="center" w:pos="81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Outstanding</w:t>
            </w:r>
          </w:p>
          <w:p>
            <w:pPr>
              <w:pStyle w:val="Normal"/>
              <w:widowControl/>
              <w:tabs>
                <w:tab w:val="clear" w:pos="720"/>
                <w:tab w:val="center" w:pos="81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rPr>
            </w:pPr>
            <w:r>
              <w:rPr>
                <w:b/>
              </w:rPr>
              <w:tab/>
            </w:r>
            <w:r>
              <w:rPr>
                <w:b/>
                <w:u w:val="single"/>
              </w:rPr>
              <w:t>Securities</w:t>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rPr>
            </w:pPr>
            <w:r>
              <w:rPr>
                <w:b/>
              </w:rPr>
            </w:r>
          </w:p>
          <w:p>
            <w:pPr>
              <w:pStyle w:val="Normal"/>
              <w:widowControl/>
              <w:tabs>
                <w:tab w:val="clear" w:pos="720"/>
                <w:tab w:val="center" w:pos="81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tab/>
              <w:t>Securities</w:t>
            </w:r>
          </w:p>
          <w:p>
            <w:pPr>
              <w:pStyle w:val="Normal"/>
              <w:widowControl/>
              <w:tabs>
                <w:tab w:val="clear" w:pos="720"/>
                <w:tab w:val="center" w:pos="81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tab/>
              <w:t>Owned</w:t>
            </w:r>
          </w:p>
          <w:p>
            <w:pPr>
              <w:pStyle w:val="Normal"/>
              <w:widowControl/>
              <w:tabs>
                <w:tab w:val="clear" w:pos="720"/>
                <w:tab w:val="center" w:pos="81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rPr>
            </w:pPr>
            <w:r>
              <w:rPr>
                <w:b/>
              </w:rPr>
              <w:tab/>
            </w:r>
            <w:r>
              <w:rPr>
                <w:b/>
                <w:u w:val="single"/>
              </w:rPr>
              <w:t>by Parent</w:t>
            </w:r>
          </w:p>
        </w:tc>
      </w:tr>
      <w:tr>
        <w:trPr/>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rPr>
            </w:pPr>
            <w:r>
              <w:rPr>
                <w:b/>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bl>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SCHEDULE 5.03(c)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 xml:space="preserve">MATTERS RELATING TO EQUITY SECURITIES OF THE SUBJECT </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COMPANIES AND THEIR SIGNIFICANT ENTITIES</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Heading4"/>
        <w:tabs>
          <w:tab w:val="clear" w:pos="0"/>
          <w:tab w:val="clear" w:pos="720"/>
          <w:tab w:val="clear" w:pos="1440"/>
          <w:tab w:val="clear" w:pos="2160"/>
          <w:tab w:val="clear" w:pos="2880"/>
          <w:tab w:val="clear" w:pos="3600"/>
          <w:tab w:val="clear" w:pos="4320"/>
          <w:tab w:val="left" w:pos="-1440" w:leader="none"/>
          <w:tab w:val="left" w:pos="-7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rPr>
          <w:u w:val="single"/>
        </w:rPr>
      </w:pPr>
      <w:r>
        <w:rPr>
          <w:u w:val="single"/>
        </w:rPr>
        <w:t>Dabhol Power Project</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The shares owned by Enron Mauritius Company in Dabhol Power Company are subject to a pledge in favor of the Lenders to DPC.</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In connection with negotiations with MSEB and as set out in a series of correspondence starting in the fall of 1999, MSEB was granted an option to acquire 30% of Phase II.  MSEB elected in March 2000 to exercise the option but to date has not done so.  Pending resolution of the implementation and the timing of the exercise of the option shareholders other than MSEB (acting through its subsidiary, MPDCL) have advanced funds by way of an advance against equity. Shares have not been issued pending such resolution so actual share ownership in Dabhol Power Company to date is:</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numPr>
          <w:ilvl w:val="0"/>
          <w:numId w:val="17"/>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Enron Mauritius Company</w:t>
        <w:tab/>
        <w:tab/>
        <w:tab/>
        <w:t>50%</w:t>
      </w:r>
    </w:p>
    <w:p>
      <w:pPr>
        <w:pStyle w:val="Normal"/>
        <w:widowControl/>
        <w:numPr>
          <w:ilvl w:val="0"/>
          <w:numId w:val="17"/>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Maharashtra Power Development Co. Ltd. (MPDC)</w:t>
        <w:tab/>
        <w:t>30%</w:t>
      </w:r>
    </w:p>
    <w:p>
      <w:pPr>
        <w:pStyle w:val="Normal"/>
        <w:widowControl/>
        <w:numPr>
          <w:ilvl w:val="0"/>
          <w:numId w:val="17"/>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Capital India Power Mauritius 1</w:t>
        <w:tab/>
        <w:tab/>
        <w:tab/>
        <w:t>10%</w:t>
      </w:r>
    </w:p>
    <w:p>
      <w:pPr>
        <w:pStyle w:val="Normal"/>
        <w:widowControl/>
        <w:numPr>
          <w:ilvl w:val="0"/>
          <w:numId w:val="17"/>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Energy Enterprises (Mauritius)</w:t>
        <w:tab/>
        <w:tab/>
        <w:tab/>
        <w:t>10%</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BodyText"/>
        <w:rPr/>
      </w:pPr>
      <w:r>
        <w:rPr/>
        <w:t xml:space="preserve">If shares were to be issued to match the advance of funds Enron Mauritius Company would own some 66% of the shareholding in DPC. </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Heading3"/>
        <w:ind w:hanging="0" w:start="0"/>
        <w:rPr>
          <w:b/>
        </w:rPr>
      </w:pPr>
      <w:r>
        <w:rPr>
          <w:b/>
        </w:rPr>
        <w:t>Metgas</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Under the terms of the Foreign Investment Promotion Board’s approval, Enron MCH LNG India Ltd. is required to sell 26% of the share capital of Enron Energy Marketing Limited to an Indian company within five years of the date of the approval.</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Heading4"/>
        <w:tabs>
          <w:tab w:val="clear" w:pos="0"/>
          <w:tab w:val="clear" w:pos="720"/>
          <w:tab w:val="clear" w:pos="1440"/>
          <w:tab w:val="clear" w:pos="2160"/>
          <w:tab w:val="clear" w:pos="2880"/>
          <w:tab w:val="clear" w:pos="3600"/>
          <w:tab w:val="clear" w:pos="4320"/>
          <w:tab w:val="left" w:pos="-1440" w:leader="none"/>
          <w:tab w:val="left" w:pos="-7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rPr>
          <w:u w:val="single"/>
        </w:rPr>
      </w:pPr>
      <w:r>
        <w:rPr>
          <w:u w:val="single"/>
        </w:rPr>
        <w:t>Datacenter Business</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1440" w:bottom="1496"/>
          <w:pgNumType w:fmt="decimal"/>
          <w:formProt w:val="false"/>
          <w:textDirection w:val="lrTb"/>
          <w:docGrid w:type="default" w:linePitch="360" w:charSpace="0"/>
        </w:sectPr>
        <w:pStyle w:val="BodyText"/>
        <w:rPr/>
      </w:pPr>
      <w:r>
        <w:rPr/>
        <w:t xml:space="preserve">Under the current regulatory framework in India a company seeking to provide ISP and related datacenter services is required to have an Indian partner holding 51% of the equity of the company carrying out such activities. </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SCHEDULE 5.03(d)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VOTING ARRANGEMENTS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16"/>
          <w:headerReference w:type="first" r:id="rId17"/>
          <w:footerReference w:type="default" r:id="rId18"/>
          <w:footerReference w:type="first" r:id="rId19"/>
          <w:type w:val="nextPage"/>
          <w:pgSz w:w="12240" w:h="15840"/>
          <w:pgMar w:left="1440" w:right="1440" w:gutter="0" w:header="1440" w:top="1496" w:footer="1440" w:bottom="1496"/>
          <w:pgNumType w:fmt="decimal"/>
          <w:formProt w:val="false"/>
          <w:textDirection w:val="lrTb"/>
          <w:docGrid w:type="default" w:linePitch="360" w:charSpace="0"/>
        </w:sectPr>
        <w:pStyle w:val="Heading5"/>
        <w:ind w:hanging="0" w:start="0"/>
        <w:rPr/>
      </w:pPr>
      <w:r>
        <w:rPr/>
        <w:t>None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SCHEDULE 5.04 (a)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TITLE TO PROPERTIES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BodyText"/>
        <w:tabs>
          <w:tab w:val="clear" w:pos="468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1. Enron India Private Limited (EIPL) has entered into an agreement with the Wockhardt Group pursuant to which EIPL will, subject to the receipt of certain approvals, enter into an Assignment Agreement for the lease of property in the Bandra Kurla area of Bombay. EIPL has paid approximately US$9 million by way of a deposit and will, upon execution of the Assignment Agreement, be required to pay a further consideration of approximately US$ 31million. It is expected that fit out costs will be in the order of a further US$8 – 9 million.  [A lien will be placed upon this property.]</w:t>
      </w:r>
    </w:p>
    <w:p>
      <w:pPr>
        <w:pStyle w:val="BodyText"/>
        <w:tabs>
          <w:tab w:val="clear" w:pos="468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2. EIPL has also entered into a Leave and Licence Agreement in respect of property to house the Bombay datacenter. The agreement is for a period of 5 years with an option to extend for a further period of 4 years. The total annual rental is expected to be in the order of US$ [      ].  [A lien will be placed upon this property.]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BodyText"/>
        <w:tabs>
          <w:tab w:val="clear" w:pos="468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BodyText"/>
        <w:tabs>
          <w:tab w:val="clear" w:pos="468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3. EIPL, Metgas and DPC have entered into short term licence agreements for the rental of office space in Bombay, Delhi, Bangalore and Ahmedabad.  [Is there a lien and is it on the books?]</w:t>
      </w:r>
      <w:r>
        <w:br w:type="page"/>
      </w:r>
    </w:p>
    <w:p>
      <w:pPr>
        <w:pStyle w:val="BodyText"/>
        <w:tabs>
          <w:tab w:val="clear" w:pos="468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SCHEDULE 5.04 (b)</w:t>
      </w:r>
    </w:p>
    <w:p>
      <w:pPr>
        <w:pStyle w:val="BodyText"/>
        <w:tabs>
          <w:tab w:val="clear" w:pos="468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BodyText"/>
        <w:tabs>
          <w:tab w:val="clear" w:pos="468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TITLE TO INTELLECTUAL PROPERTY</w:t>
      </w:r>
    </w:p>
    <w:p>
      <w:pPr>
        <w:pStyle w:val="BodyText"/>
        <w:tabs>
          <w:tab w:val="clear" w:pos="468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BodyText"/>
        <w:tabs>
          <w:tab w:val="clear" w:pos="468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BodyText"/>
        <w:tabs>
          <w:tab w:val="clear" w:pos="468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sectPr>
          <w:headerReference w:type="default" r:id="rId20"/>
          <w:headerReference w:type="first" r:id="rId21"/>
          <w:footerReference w:type="default" r:id="rId22"/>
          <w:footerReference w:type="first" r:id="rId23"/>
          <w:type w:val="nextPage"/>
          <w:pgSz w:w="12240" w:h="15840"/>
          <w:pgMar w:left="1440" w:right="1440" w:gutter="0" w:header="1440" w:top="1496" w:footer="1440" w:bottom="1496"/>
          <w:pgNumType w:fmt="decimal"/>
          <w:formProt w:val="false"/>
          <w:textDirection w:val="lrTb"/>
          <w:docGrid w:type="default" w:linePitch="360" w:charSpace="0"/>
        </w:sectPr>
        <w:pStyle w:val="BodyText"/>
        <w:tabs>
          <w:tab w:val="clear" w:pos="468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NONE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SCHEDULE 5.05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FINANCIAL STATEMENTS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[to be provided by Bob Butts]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24"/>
          <w:headerReference w:type="first" r:id="rId25"/>
          <w:footerReference w:type="default" r:id="rId26"/>
          <w:footerReference w:type="first" r:id="rId27"/>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SCHEDULE 5.06(a)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AUTHORIZATIONS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Note:  The Foreign Investment Promotion Board approvals for the Dabhol Power Project have been granted to Enron Development Corp. and any transfer of companies must include Enron Development Company in order to maintain the validity of the approval.</w:t>
      </w:r>
    </w:p>
    <w:p>
      <w:pPr>
        <w:sectPr>
          <w:headerReference w:type="default" r:id="rId28"/>
          <w:headerReference w:type="first" r:id="rId29"/>
          <w:footerReference w:type="default" r:id="rId30"/>
          <w:footerReference w:type="first" r:id="rId31"/>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SCHEDULE 5.06(b)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AUTHORIZATIONS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following are the major Authorizations, other than those relating to environmental matters, that have been obtained for each Business Under Development: </w:t>
      </w:r>
    </w:p>
    <w:p>
      <w:pPr>
        <w:pStyle w:val="Level1"/>
        <w:numPr>
          <w:ilvl w:val="0"/>
          <w:numId w:val="0"/>
        </w:numPr>
        <w:ind w:hanging="0" w:start="0"/>
        <w:rPr>
          <w:rFonts w:ascii="Times New Roman" w:hAnsi="Times New Roman" w:cs="Times New Roman"/>
          <w:sz w:val="24"/>
        </w:rPr>
      </w:pPr>
      <w:r>
        <w:rPr>
          <w:rFonts w:cs="Times New Roman" w:ascii="Times New Roman" w:hAnsi="Times New Roman"/>
          <w:kern w:val="0"/>
          <w:sz w:val="24"/>
          <w:u w:val="single"/>
          <w:lang w:val="en-US" w:eastAsia="en-US"/>
        </w:rPr>
        <w:t>Metgas</w:t>
      </w:r>
    </w:p>
    <w:p>
      <w:pPr>
        <w:pStyle w:val="Level2"/>
        <w:numPr>
          <w:ilvl w:val="0"/>
          <w:numId w:val="0"/>
        </w:numPr>
        <w:ind w:hanging="0" w:start="0"/>
        <w:rPr>
          <w:rFonts w:ascii="Times New Roman" w:hAnsi="Times New Roman" w:cs="Times New Roman"/>
          <w:sz w:val="24"/>
        </w:rPr>
      </w:pPr>
      <w:r>
        <w:rPr>
          <w:rFonts w:cs="Times New Roman" w:ascii="Times New Roman" w:hAnsi="Times New Roman"/>
          <w:sz w:val="24"/>
        </w:rPr>
        <w:t>The Project</w:t>
      </w:r>
    </w:p>
    <w:p>
      <w:pPr>
        <w:pStyle w:val="Body1"/>
        <w:ind w:start="0" w:end="0"/>
        <w:rPr>
          <w:rFonts w:ascii="Times New Roman" w:hAnsi="Times New Roman" w:cs="Times New Roman"/>
          <w:sz w:val="24"/>
        </w:rPr>
      </w:pPr>
      <w:r>
        <w:rPr>
          <w:rFonts w:cs="Times New Roman" w:ascii="Times New Roman" w:hAnsi="Times New Roman"/>
          <w:sz w:val="24"/>
        </w:rPr>
        <w:t xml:space="preserve">The following identifies the major Indian permits and clearances which are required for the successful completion of Phase 1 of the MetGas project, a 360km natural gas pipeline from the LNG facilities at Dabhol to Talasri on the border between the States of Maharashtra and Gujarat.  Various other permits are also required. </w:t>
      </w:r>
    </w:p>
    <w:p>
      <w:pPr>
        <w:pStyle w:val="Level1"/>
        <w:numPr>
          <w:ilvl w:val="0"/>
          <w:numId w:val="32"/>
        </w:numPr>
        <w:rPr>
          <w:rFonts w:ascii="Times New Roman" w:hAnsi="Times New Roman" w:cs="Times New Roman"/>
          <w:sz w:val="24"/>
        </w:rPr>
      </w:pPr>
      <w:r>
        <w:rPr>
          <w:rFonts w:cs="Times New Roman" w:ascii="Times New Roman" w:hAnsi="Times New Roman"/>
          <w:sz w:val="24"/>
        </w:rPr>
        <w:t>Environmental Clearances</w:t>
      </w:r>
    </w:p>
    <w:p>
      <w:pPr>
        <w:pStyle w:val="Level2"/>
        <w:numPr>
          <w:ilvl w:val="0"/>
          <w:numId w:val="0"/>
        </w:numPr>
        <w:ind w:hanging="0" w:start="0"/>
        <w:rPr>
          <w:rFonts w:ascii="Times New Roman" w:hAnsi="Times New Roman" w:cs="Times New Roman"/>
          <w:b/>
          <w:sz w:val="24"/>
        </w:rPr>
      </w:pPr>
      <w:r>
        <w:rPr>
          <w:rFonts w:cs="Times New Roman" w:ascii="Times New Roman" w:hAnsi="Times New Roman"/>
          <w:b/>
          <w:sz w:val="24"/>
        </w:rPr>
        <w:t>Department of Environment, Government of Maharashtra</w:t>
      </w:r>
    </w:p>
    <w:p>
      <w:pPr>
        <w:pStyle w:val="Body2"/>
        <w:ind w:start="0" w:end="0"/>
        <w:rPr/>
      </w:pPr>
      <w:r>
        <w:rPr>
          <w:rFonts w:cs="Times New Roman" w:ascii="Times New Roman" w:hAnsi="Times New Roman"/>
          <w:sz w:val="24"/>
        </w:rPr>
        <w:t>Approval of GOM for the pipeline to be laid through the Coastal Regulation Zone (“</w:t>
      </w:r>
      <w:r>
        <w:rPr>
          <w:rFonts w:cs="Times New Roman" w:ascii="Times New Roman" w:hAnsi="Times New Roman"/>
          <w:b/>
          <w:sz w:val="24"/>
        </w:rPr>
        <w:t>CRZ</w:t>
      </w:r>
      <w:r>
        <w:rPr>
          <w:rFonts w:cs="Times New Roman" w:ascii="Times New Roman" w:hAnsi="Times New Roman"/>
          <w:sz w:val="24"/>
        </w:rPr>
        <w:t>”). This approval will then form part of the main environmental approval given by the Ministry of Environment and Forests of the Government of India (“</w:t>
      </w:r>
      <w:r>
        <w:rPr>
          <w:rFonts w:cs="Times New Roman" w:ascii="Times New Roman" w:hAnsi="Times New Roman"/>
          <w:b/>
          <w:sz w:val="24"/>
        </w:rPr>
        <w:t>MOEF</w:t>
      </w:r>
      <w:r>
        <w:rPr>
          <w:rFonts w:cs="Times New Roman" w:ascii="Times New Roman" w:hAnsi="Times New Roman"/>
          <w:sz w:val="24"/>
        </w:rPr>
        <w:t>”). Pursuant to a Central Government notification certain industries and activities are restricted within the CRZ. The laying of pipeline is a permitted activity but is subject to GOM approval, having taken factors such as environmental impact into consideration.  This approval has been obtained.</w:t>
      </w:r>
    </w:p>
    <w:p>
      <w:pPr>
        <w:pStyle w:val="Level2"/>
        <w:numPr>
          <w:ilvl w:val="0"/>
          <w:numId w:val="0"/>
        </w:numPr>
        <w:ind w:hanging="0" w:start="0"/>
        <w:rPr>
          <w:rFonts w:ascii="Times New Roman" w:hAnsi="Times New Roman" w:cs="Times New Roman"/>
          <w:b/>
          <w:sz w:val="24"/>
        </w:rPr>
      </w:pPr>
      <w:r>
        <w:rPr>
          <w:rFonts w:cs="Times New Roman" w:ascii="Times New Roman" w:hAnsi="Times New Roman"/>
          <w:b/>
          <w:sz w:val="24"/>
        </w:rPr>
        <w:t>Ministry of Environment and Forests, GOI</w:t>
      </w:r>
    </w:p>
    <w:p>
      <w:pPr>
        <w:pStyle w:val="Body2"/>
        <w:ind w:start="0" w:end="0"/>
        <w:rPr>
          <w:rFonts w:ascii="Times New Roman" w:hAnsi="Times New Roman" w:cs="Times New Roman"/>
          <w:sz w:val="24"/>
        </w:rPr>
      </w:pPr>
      <w:r>
        <w:rPr>
          <w:rFonts w:cs="Times New Roman" w:ascii="Times New Roman" w:hAnsi="Times New Roman"/>
          <w:sz w:val="24"/>
        </w:rPr>
        <w:t>Environmental approval from MOEF is required. MetGas has submitted an Environmental Impact Assessment, Disaster Management Plan and Risk Assessment Reports to MOEF.</w:t>
      </w:r>
    </w:p>
    <w:p>
      <w:pPr>
        <w:pStyle w:val="Body2"/>
        <w:ind w:start="0" w:end="0"/>
        <w:rPr>
          <w:rFonts w:ascii="Times New Roman" w:hAnsi="Times New Roman" w:cs="Times New Roman"/>
          <w:sz w:val="24"/>
        </w:rPr>
      </w:pPr>
      <w:r>
        <w:rPr>
          <w:rFonts w:cs="Times New Roman" w:ascii="Times New Roman" w:hAnsi="Times New Roman"/>
          <w:sz w:val="24"/>
        </w:rPr>
      </w:r>
    </w:p>
    <w:p>
      <w:pPr>
        <w:pStyle w:val="Level2"/>
        <w:numPr>
          <w:ilvl w:val="0"/>
          <w:numId w:val="0"/>
        </w:numPr>
        <w:ind w:hanging="0" w:start="0"/>
        <w:rPr>
          <w:rFonts w:ascii="Times New Roman" w:hAnsi="Times New Roman" w:cs="Times New Roman"/>
          <w:b/>
          <w:sz w:val="24"/>
        </w:rPr>
      </w:pPr>
      <w:r>
        <w:rPr>
          <w:rFonts w:cs="Times New Roman" w:ascii="Times New Roman" w:hAnsi="Times New Roman"/>
          <w:b/>
          <w:sz w:val="24"/>
        </w:rPr>
        <w:t>Forests Clearances</w:t>
      </w:r>
    </w:p>
    <w:p>
      <w:pPr>
        <w:pStyle w:val="Body2"/>
        <w:ind w:start="0" w:end="0"/>
        <w:rPr>
          <w:rFonts w:ascii="Times New Roman" w:hAnsi="Times New Roman" w:cs="Times New Roman"/>
          <w:sz w:val="24"/>
        </w:rPr>
      </w:pPr>
      <w:r>
        <w:rPr>
          <w:rFonts w:cs="Times New Roman" w:ascii="Times New Roman" w:hAnsi="Times New Roman"/>
          <w:sz w:val="24"/>
        </w:rPr>
        <w:t>MOEF approval is required for the use of designated forest areas for non-forest purposes. This is a three tiered process involving officials at Local, State and Central Government level.</w:t>
      </w:r>
    </w:p>
    <w:p>
      <w:pPr>
        <w:pStyle w:val="Body2"/>
        <w:ind w:start="0" w:end="0"/>
        <w:rPr>
          <w:rFonts w:ascii="Times New Roman" w:hAnsi="Times New Roman" w:cs="Times New Roman"/>
          <w:sz w:val="24"/>
        </w:rPr>
      </w:pPr>
      <w:r>
        <w:rPr>
          <w:rFonts w:cs="Times New Roman" w:ascii="Times New Roman" w:hAnsi="Times New Roman"/>
          <w:sz w:val="24"/>
        </w:rPr>
      </w:r>
    </w:p>
    <w:p>
      <w:pPr>
        <w:pStyle w:val="Level2"/>
        <w:numPr>
          <w:ilvl w:val="0"/>
          <w:numId w:val="0"/>
        </w:numPr>
        <w:ind w:hanging="0" w:start="0"/>
        <w:rPr>
          <w:rFonts w:ascii="Times New Roman" w:hAnsi="Times New Roman" w:cs="Times New Roman"/>
          <w:sz w:val="24"/>
        </w:rPr>
      </w:pPr>
      <w:r>
        <w:rPr>
          <w:rFonts w:cs="Times New Roman" w:ascii="Times New Roman" w:hAnsi="Times New Roman"/>
          <w:sz w:val="24"/>
        </w:rPr>
        <w:t>Dahanu Taluka</w:t>
      </w:r>
    </w:p>
    <w:p>
      <w:pPr>
        <w:pStyle w:val="Body2"/>
        <w:ind w:start="0" w:end="0"/>
        <w:rPr/>
      </w:pPr>
      <w:r>
        <w:rPr>
          <w:rFonts w:cs="Times New Roman" w:ascii="Times New Roman" w:hAnsi="Times New Roman"/>
          <w:sz w:val="24"/>
        </w:rPr>
        <w:t>Dahanu Taluka is a designated ecologically fragile area for which the Dahanu Taluka Environmental Protection Authority (“</w:t>
      </w:r>
      <w:r>
        <w:rPr>
          <w:rFonts w:cs="Times New Roman" w:ascii="Times New Roman" w:hAnsi="Times New Roman"/>
          <w:b/>
          <w:sz w:val="24"/>
        </w:rPr>
        <w:t>DTEPA</w:t>
      </w:r>
      <w:r>
        <w:rPr>
          <w:rFonts w:cs="Times New Roman" w:ascii="Times New Roman" w:hAnsi="Times New Roman"/>
          <w:sz w:val="24"/>
        </w:rPr>
        <w:t>”) has been constituted.</w:t>
      </w:r>
    </w:p>
    <w:p>
      <w:pPr>
        <w:pStyle w:val="Body2"/>
        <w:ind w:start="0" w:end="0"/>
        <w:rPr>
          <w:rFonts w:ascii="Times New Roman" w:hAnsi="Times New Roman" w:cs="Times New Roman"/>
          <w:sz w:val="24"/>
        </w:rPr>
      </w:pPr>
      <w:r>
        <w:rPr>
          <w:rFonts w:cs="Times New Roman" w:ascii="Times New Roman" w:hAnsi="Times New Roman"/>
          <w:sz w:val="24"/>
        </w:rPr>
        <w:t>MetGas has received an in principle approval on 9 June 1999, which is conditional upon the fulfilment of agreed social welfare commitments.</w:t>
      </w:r>
    </w:p>
    <w:p>
      <w:pPr>
        <w:pStyle w:val="Level1"/>
        <w:numPr>
          <w:ilvl w:val="0"/>
          <w:numId w:val="32"/>
        </w:numPr>
        <w:rPr>
          <w:rFonts w:ascii="Times New Roman" w:hAnsi="Times New Roman" w:cs="Times New Roman"/>
          <w:sz w:val="24"/>
        </w:rPr>
      </w:pPr>
      <w:r>
        <w:rPr>
          <w:rFonts w:cs="Times New Roman" w:ascii="Times New Roman" w:hAnsi="Times New Roman"/>
          <w:sz w:val="24"/>
        </w:rPr>
        <w:t>Right of User</w:t>
      </w:r>
    </w:p>
    <w:p>
      <w:pPr>
        <w:pStyle w:val="Level2"/>
        <w:numPr>
          <w:ilvl w:val="0"/>
          <w:numId w:val="0"/>
        </w:numPr>
        <w:ind w:hanging="0" w:start="0"/>
        <w:rPr>
          <w:rFonts w:ascii="Times New Roman" w:hAnsi="Times New Roman" w:cs="Times New Roman"/>
          <w:sz w:val="24"/>
        </w:rPr>
      </w:pPr>
      <w:r>
        <w:rPr>
          <w:rFonts w:cs="Times New Roman" w:ascii="Times New Roman" w:hAnsi="Times New Roman"/>
          <w:sz w:val="24"/>
        </w:rPr>
        <w:t>ROU Process</w:t>
      </w:r>
    </w:p>
    <w:p>
      <w:pPr>
        <w:pStyle w:val="Body2"/>
        <w:ind w:start="0" w:end="0"/>
        <w:rPr/>
      </w:pPr>
      <w:r>
        <w:rPr>
          <w:rFonts w:cs="Times New Roman" w:ascii="Times New Roman" w:hAnsi="Times New Roman"/>
          <w:sz w:val="24"/>
        </w:rPr>
        <w:t>The procedure for obtaining a right of user in land, in order to be able to lay the pipeline is set out in the Petroleum and Minerals Pipeline (Acquisition of Right of User in Land) Act 1962 (“</w:t>
      </w:r>
      <w:r>
        <w:rPr>
          <w:rFonts w:cs="Times New Roman" w:ascii="Times New Roman" w:hAnsi="Times New Roman"/>
          <w:b/>
          <w:sz w:val="24"/>
        </w:rPr>
        <w:t>PMP Act</w:t>
      </w:r>
      <w:r>
        <w:rPr>
          <w:rFonts w:cs="Times New Roman" w:ascii="Times New Roman" w:hAnsi="Times New Roman"/>
          <w:sz w:val="24"/>
        </w:rPr>
        <w:t>”) and is summarised below.</w:t>
      </w:r>
    </w:p>
    <w:p>
      <w:pPr>
        <w:pStyle w:val="Body3"/>
        <w:ind w:start="0" w:end="0"/>
        <w:rPr/>
      </w:pPr>
      <w:r>
        <w:rPr>
          <w:rFonts w:cs="Times New Roman" w:ascii="Times New Roman" w:hAnsi="Times New Roman"/>
          <w:sz w:val="24"/>
        </w:rPr>
        <w:t>The right of user (“</w:t>
      </w:r>
      <w:r>
        <w:rPr>
          <w:rFonts w:cs="Times New Roman" w:ascii="Times New Roman" w:hAnsi="Times New Roman"/>
          <w:b/>
          <w:sz w:val="24"/>
        </w:rPr>
        <w:t>ROU</w:t>
      </w:r>
      <w:r>
        <w:rPr>
          <w:rFonts w:cs="Times New Roman" w:ascii="Times New Roman" w:hAnsi="Times New Roman"/>
          <w:sz w:val="24"/>
        </w:rPr>
        <w:t>”) enables the holder to enter on to land to lay and maintain a pipeline. The ROU is acquired by GOI, which then has the right to assign the ROU to a company i.e. MetGas.The ROU process is managed by a number of Competent Authorities (“</w:t>
      </w:r>
      <w:r>
        <w:rPr>
          <w:rFonts w:cs="Times New Roman" w:ascii="Times New Roman" w:hAnsi="Times New Roman"/>
          <w:b/>
          <w:sz w:val="24"/>
        </w:rPr>
        <w:t>CAs</w:t>
      </w:r>
      <w:r>
        <w:rPr>
          <w:rFonts w:cs="Times New Roman" w:ascii="Times New Roman" w:hAnsi="Times New Roman"/>
          <w:sz w:val="24"/>
        </w:rPr>
        <w:t>”) who are appointed by GOI on recommendation from the local Commissioner and who are generally retired revenue officers.</w:t>
      </w:r>
    </w:p>
    <w:p>
      <w:pPr>
        <w:pStyle w:val="Body3"/>
        <w:ind w:start="0" w:end="0"/>
        <w:rPr/>
      </w:pPr>
      <w:r>
        <w:rPr>
          <w:rFonts w:cs="Times New Roman" w:ascii="Times New Roman" w:hAnsi="Times New Roman"/>
          <w:sz w:val="24"/>
        </w:rPr>
        <w:t xml:space="preserve">A notice of intention to acquire an ROU over land is published in the Official Gazette pursuant to section 3(1) of the PMP Act (a </w:t>
      </w:r>
      <w:r>
        <w:rPr>
          <w:rFonts w:cs="Times New Roman" w:ascii="Times New Roman" w:hAnsi="Times New Roman"/>
          <w:b/>
          <w:sz w:val="24"/>
        </w:rPr>
        <w:t>“3(1) Notice”</w:t>
      </w:r>
      <w:r>
        <w:rPr>
          <w:rFonts w:cs="Times New Roman" w:ascii="Times New Roman" w:hAnsi="Times New Roman"/>
          <w:sz w:val="24"/>
        </w:rPr>
        <w:t>) and served either on the owner of the relevant land or published locally in the prescribed manner.  All 3(1) Notices have been served in respect of Stages 1 and 2 (over 22,000 in total).</w:t>
      </w:r>
    </w:p>
    <w:p>
      <w:pPr>
        <w:pStyle w:val="Body3"/>
        <w:ind w:start="0" w:end="0"/>
        <w:rPr/>
      </w:pPr>
      <w:r>
        <w:rPr>
          <w:rFonts w:cs="Times New Roman" w:ascii="Times New Roman" w:hAnsi="Times New Roman"/>
          <w:sz w:val="24"/>
        </w:rPr>
        <w:t>Objections may be submitted in writing within 21 days of the publication of the notice of intention. The CA decides whether or not to allow objections. If an objection is allowed the pipeline will need to be re-routed.</w:t>
      </w:r>
      <w:r>
        <w:rPr>
          <w:rFonts w:cs="Times New Roman" w:ascii="Times New Roman" w:hAnsi="Times New Roman"/>
          <w:b/>
          <w:sz w:val="24"/>
        </w:rPr>
        <w:t xml:space="preserve"> </w:t>
      </w:r>
      <w:r>
        <w:rPr>
          <w:rFonts w:cs="Times New Roman" w:ascii="Times New Roman" w:hAnsi="Times New Roman"/>
          <w:sz w:val="24"/>
        </w:rPr>
        <w:t>Hearing of objections is complete.</w:t>
      </w:r>
    </w:p>
    <w:p>
      <w:pPr>
        <w:pStyle w:val="Body3"/>
        <w:ind w:start="0" w:end="0"/>
        <w:rPr/>
      </w:pPr>
      <w:r>
        <w:rPr>
          <w:rFonts w:cs="Times New Roman" w:ascii="Times New Roman" w:hAnsi="Times New Roman"/>
          <w:sz w:val="24"/>
        </w:rPr>
        <w:t xml:space="preserve">Once the CA has disallowed any objections, he shall submit a report to GOI recommending the grant of an ROU (a </w:t>
      </w:r>
      <w:r>
        <w:rPr>
          <w:rFonts w:cs="Times New Roman" w:ascii="Times New Roman" w:hAnsi="Times New Roman"/>
          <w:b/>
          <w:sz w:val="24"/>
        </w:rPr>
        <w:t>“6(1) Submission”</w:t>
      </w:r>
      <w:r>
        <w:rPr>
          <w:rFonts w:cs="Times New Roman" w:ascii="Times New Roman" w:hAnsi="Times New Roman"/>
          <w:sz w:val="24"/>
        </w:rPr>
        <w:t xml:space="preserve">). GOI shall then declare the acquisition of the ROU pursuant to section 6(1) of the PMP Act (a </w:t>
      </w:r>
      <w:r>
        <w:rPr>
          <w:rFonts w:cs="Times New Roman" w:ascii="Times New Roman" w:hAnsi="Times New Roman"/>
          <w:b/>
          <w:sz w:val="24"/>
        </w:rPr>
        <w:t>“6(1) Notice”</w:t>
      </w:r>
      <w:r>
        <w:rPr>
          <w:rFonts w:cs="Times New Roman" w:ascii="Times New Roman" w:hAnsi="Times New Roman"/>
          <w:sz w:val="24"/>
        </w:rPr>
        <w:t>), and may at the same time vest such ROU in a private company pursuant to section 6(4).</w:t>
      </w:r>
    </w:p>
    <w:p>
      <w:pPr>
        <w:pStyle w:val="Level1"/>
        <w:numPr>
          <w:ilvl w:val="0"/>
          <w:numId w:val="32"/>
        </w:numPr>
        <w:rPr>
          <w:rFonts w:ascii="Times New Roman" w:hAnsi="Times New Roman" w:cs="Times New Roman"/>
          <w:sz w:val="24"/>
        </w:rPr>
      </w:pPr>
      <w:r>
        <w:rPr>
          <w:rFonts w:cs="Times New Roman" w:ascii="Times New Roman" w:hAnsi="Times New Roman"/>
          <w:sz w:val="24"/>
        </w:rPr>
        <w:t>Road, Railway Crossings, etc.</w:t>
      </w:r>
    </w:p>
    <w:p>
      <w:pPr>
        <w:pStyle w:val="Body1"/>
        <w:ind w:start="0" w:end="0"/>
        <w:rPr>
          <w:rFonts w:ascii="Times New Roman" w:hAnsi="Times New Roman" w:cs="Times New Roman"/>
          <w:sz w:val="24"/>
        </w:rPr>
      </w:pPr>
      <w:r>
        <w:rPr>
          <w:rFonts w:cs="Times New Roman" w:ascii="Times New Roman" w:hAnsi="Times New Roman"/>
          <w:sz w:val="24"/>
        </w:rPr>
        <w:t xml:space="preserve">Specific approvals will be necessary where the pipeline crosses roads, railways, canals, other pipelines and buried cables etc. as the ROU legislation does not apply in respect of land on which a permanent structure exists.  MetGas has identified 320 major crossing [permits or NOCs] and has received 276 [NOCs or permits] to date and no major problems have been encountered to date. </w:t>
      </w:r>
    </w:p>
    <w:p>
      <w:pPr>
        <w:pStyle w:val="Level1"/>
        <w:numPr>
          <w:ilvl w:val="0"/>
          <w:numId w:val="32"/>
        </w:numPr>
        <w:rPr>
          <w:rFonts w:ascii="Times New Roman" w:hAnsi="Times New Roman" w:cs="Times New Roman"/>
          <w:sz w:val="24"/>
        </w:rPr>
      </w:pPr>
      <w:r>
        <w:rPr>
          <w:rFonts w:cs="Times New Roman" w:ascii="Times New Roman" w:hAnsi="Times New Roman"/>
          <w:sz w:val="24"/>
        </w:rPr>
        <w:t>Local Development Authorities</w:t>
      </w:r>
    </w:p>
    <w:p>
      <w:pPr>
        <w:pStyle w:val="Body1"/>
        <w:ind w:start="0" w:end="0"/>
        <w:rPr>
          <w:rFonts w:ascii="Times New Roman" w:hAnsi="Times New Roman" w:cs="Times New Roman"/>
          <w:sz w:val="24"/>
        </w:rPr>
      </w:pPr>
      <w:r>
        <w:rPr>
          <w:rFonts w:cs="Times New Roman" w:ascii="Times New Roman" w:hAnsi="Times New Roman"/>
          <w:sz w:val="24"/>
        </w:rPr>
        <w:t xml:space="preserve">There is a large amount of legislation setting out the responsibilities of various local authorities in relation to the regulation of urban development etc. Whilst the ROU legislation grants a right to lay the pipeline, further legislation sets out additional requirements in relation to urban areas.  All applications have been submitted. </w:t>
      </w:r>
    </w:p>
    <w:p>
      <w:pPr>
        <w:pStyle w:val="Level1"/>
        <w:numPr>
          <w:ilvl w:val="0"/>
          <w:numId w:val="32"/>
        </w:numPr>
        <w:rPr>
          <w:rFonts w:ascii="Times New Roman" w:hAnsi="Times New Roman" w:cs="Times New Roman"/>
          <w:sz w:val="24"/>
        </w:rPr>
      </w:pPr>
      <w:r>
        <w:rPr>
          <w:rFonts w:cs="Times New Roman" w:ascii="Times New Roman" w:hAnsi="Times New Roman"/>
          <w:sz w:val="24"/>
        </w:rPr>
        <w:t>Lateral/Spur Pipelines</w:t>
      </w:r>
    </w:p>
    <w:p>
      <w:pPr>
        <w:pStyle w:val="Body1"/>
        <w:ind w:start="0" w:end="0"/>
        <w:rPr>
          <w:rFonts w:ascii="Times New Roman" w:hAnsi="Times New Roman" w:cs="Times New Roman"/>
          <w:sz w:val="24"/>
        </w:rPr>
      </w:pPr>
      <w:r>
        <w:rPr>
          <w:rFonts w:cs="Times New Roman" w:ascii="Times New Roman" w:hAnsi="Times New Roman"/>
          <w:sz w:val="24"/>
        </w:rPr>
        <w:t>The clearance process for the lateral pipelines which connect customers to the main pipeline is the same as for the main line, provided that the exact nature of necessary clearances will depend on the location of the lateral.  Process ongoing.</w:t>
      </w:r>
    </w:p>
    <w:p>
      <w:pPr>
        <w:pStyle w:val="Level1"/>
        <w:numPr>
          <w:ilvl w:val="0"/>
          <w:numId w:val="32"/>
        </w:numPr>
        <w:rPr>
          <w:rFonts w:ascii="Times New Roman" w:hAnsi="Times New Roman" w:cs="Times New Roman"/>
          <w:sz w:val="24"/>
        </w:rPr>
      </w:pPr>
      <w:r>
        <w:rPr>
          <w:rFonts w:cs="Times New Roman" w:ascii="Times New Roman" w:hAnsi="Times New Roman"/>
          <w:sz w:val="24"/>
        </w:rPr>
        <w:t>Foreign Investment Promotion Board</w:t>
      </w:r>
    </w:p>
    <w:p>
      <w:pPr>
        <w:pStyle w:val="Body1"/>
        <w:ind w:start="0" w:end="0"/>
        <w:rPr/>
      </w:pPr>
      <w:r>
        <w:rPr>
          <w:rFonts w:cs="Times New Roman" w:ascii="Times New Roman" w:hAnsi="Times New Roman"/>
          <w:sz w:val="24"/>
        </w:rPr>
        <w:t>Enron International obtained FIPB approval of the Project in 1997. Further to the decision to split the Project between MetGas and Enron Energy Marketing Limited (“</w:t>
      </w:r>
      <w:r>
        <w:rPr>
          <w:rFonts w:cs="Times New Roman" w:ascii="Times New Roman" w:hAnsi="Times New Roman"/>
          <w:b/>
          <w:sz w:val="24"/>
        </w:rPr>
        <w:t>EEM</w:t>
      </w:r>
      <w:r>
        <w:rPr>
          <w:rFonts w:cs="Times New Roman" w:ascii="Times New Roman" w:hAnsi="Times New Roman"/>
          <w:sz w:val="24"/>
        </w:rPr>
        <w:t>”), the original FIPB approval has been amended to reflect the revised structure.</w:t>
      </w:r>
    </w:p>
    <w:p>
      <w:pPr>
        <w:pStyle w:val="Level1"/>
        <w:numPr>
          <w:ilvl w:val="0"/>
          <w:numId w:val="32"/>
        </w:numPr>
        <w:rPr>
          <w:rFonts w:ascii="Times New Roman" w:hAnsi="Times New Roman" w:cs="Times New Roman"/>
          <w:sz w:val="24"/>
        </w:rPr>
      </w:pPr>
      <w:r>
        <w:rPr>
          <w:rFonts w:cs="Times New Roman" w:ascii="Times New Roman" w:hAnsi="Times New Roman"/>
          <w:sz w:val="24"/>
        </w:rPr>
        <w:t>Financing Clearances</w:t>
      </w:r>
    </w:p>
    <w:p>
      <w:pPr>
        <w:pStyle w:val="Body1"/>
        <w:ind w:start="0" w:end="0"/>
        <w:rPr>
          <w:rFonts w:ascii="Times New Roman" w:hAnsi="Times New Roman" w:cs="Times New Roman"/>
          <w:sz w:val="24"/>
        </w:rPr>
      </w:pPr>
      <w:r>
        <w:rPr>
          <w:rFonts w:cs="Times New Roman" w:ascii="Times New Roman" w:hAnsi="Times New Roman"/>
          <w:sz w:val="24"/>
        </w:rPr>
        <w:t>A number of clearances will be required from the Ministry of Finance and Reserve Bank of India if financing for the project is obtained from international lenders.</w:t>
      </w:r>
    </w:p>
    <w:p>
      <w:pPr>
        <w:pStyle w:val="Level1"/>
        <w:numPr>
          <w:ilvl w:val="0"/>
          <w:numId w:val="0"/>
        </w:numPr>
        <w:ind w:hanging="0" w:start="0"/>
        <w:rPr>
          <w:rFonts w:ascii="Times New Roman" w:hAnsi="Times New Roman" w:cs="Times New Roman"/>
          <w:sz w:val="24"/>
        </w:rPr>
      </w:pPr>
      <w:r>
        <w:rPr>
          <w:rFonts w:cs="Times New Roman" w:ascii="Times New Roman" w:hAnsi="Times New Roman"/>
          <w:kern w:val="0"/>
          <w:sz w:val="24"/>
          <w:u w:val="single"/>
          <w:lang w:val="en-US" w:eastAsia="en-US"/>
        </w:rPr>
        <w:t>Communications/Datacenters</w:t>
      </w:r>
    </w:p>
    <w:p>
      <w:pPr>
        <w:pStyle w:val="Body1"/>
        <w:ind w:start="0" w:end="0"/>
        <w:rPr>
          <w:rFonts w:ascii="Times New Roman" w:hAnsi="Times New Roman" w:cs="Times New Roman"/>
          <w:sz w:val="24"/>
        </w:rPr>
      </w:pPr>
      <w:r>
        <w:rPr>
          <w:rFonts w:cs="Times New Roman" w:ascii="Times New Roman" w:hAnsi="Times New Roman"/>
          <w:sz w:val="24"/>
        </w:rPr>
        <w:t>A license from the Department of Telecommunications will be required for the provision of ISP services; an application has been submitted.  A license may also be required from the Department of Telecommunications for the provision and use of international gateway services.</w:t>
      </w:r>
    </w:p>
    <w:p>
      <w:pPr>
        <w:sectPr>
          <w:headerReference w:type="default" r:id="rId32"/>
          <w:headerReference w:type="first" r:id="rId33"/>
          <w:footerReference w:type="default" r:id="rId34"/>
          <w:footerReference w:type="first" r:id="rId35"/>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SCHEDULE 5.07(b)</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tab/>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TARIFF REGULATION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Schedule sets forth the names of the Developed Businesses that are subject to regulation by Governmental Authorities of the tariffs charged by, and other operational matters relating to, them, as well as the names of the appropriate Governmental Authorities exerting such regulatory authority: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Heading3"/>
        <w:tabs>
          <w:tab w:val="clear" w:pos="468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rPr/>
      </w:pPr>
      <w:r>
        <w:rPr/>
        <w:t>Dabhol Power Project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The tariff, as set out in the Power Purchase Agreement between Dabhol Power Company and Maharashtra State Electricity Board (MSEB) has been approved, for the purposes of the Electricity (Supply) Act, 1948, by the Government of India.  MSEB’s tariff to its customers is subject to  regulation by the Maharashtra Electricity Regulatory Commission (MERC).  MERC has the authority to impose various conditions on MSEB which may affect the manner and terms of the purchase of power by MSEB from generating stations.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The Dabhol Power Project has obtained numerous clearances from governmental authorities; many of these clearances set out conditions which are on-going in application.  The major Governmental Authorities include the Ministry of Finance, the Ministry of Power, the Central Electricity Authority, Reserve Bank of India, the Ministry of Environmental Forests, etc.</w:t>
      </w:r>
    </w:p>
    <w:p>
      <w:pPr>
        <w:sectPr>
          <w:headerReference w:type="default" r:id="rId36"/>
          <w:headerReference w:type="first" r:id="rId37"/>
          <w:footerReference w:type="default" r:id="rId38"/>
          <w:footerReference w:type="first" r:id="rId39"/>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SCHEDULE 5.08(a)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INSURANCE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Schedule sets forth a list, including the name of the underwriter, the risks insured, coverage and related limits and deductibles, expiration dates and significant riders, of the principal insurance policies currently maintained by the Subject Companies and their Subsidiaries and Operating Companies (other than those insurance policies maintained by or through the Parent Company Group).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[to be vetted by Jim Bouillion/Paul Parrish]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bl>
      <w:tblPr>
        <w:tblW w:w="10110" w:type="dxa"/>
        <w:jc w:val="start"/>
        <w:tblInd w:w="0" w:type="dxa"/>
        <w:tblLayout w:type="fixed"/>
        <w:tblCellMar>
          <w:top w:w="0" w:type="dxa"/>
          <w:start w:w="30" w:type="dxa"/>
          <w:bottom w:w="0" w:type="dxa"/>
          <w:end w:w="30" w:type="dxa"/>
        </w:tblCellMar>
      </w:tblPr>
      <w:tblGrid>
        <w:gridCol w:w="454"/>
        <w:gridCol w:w="2712"/>
        <w:gridCol w:w="1094"/>
        <w:gridCol w:w="720"/>
        <w:gridCol w:w="1080"/>
        <w:gridCol w:w="990"/>
        <w:gridCol w:w="990"/>
        <w:gridCol w:w="2070"/>
      </w:tblGrid>
      <w:tr>
        <w:trPr>
          <w:trHeight w:val="110" w:hRule="atLeast"/>
        </w:trPr>
        <w:tc>
          <w:tcPr>
            <w:tcW w:w="4980" w:type="dxa"/>
            <w:gridSpan w:val="4"/>
            <w:tcBorders>
              <w:top w:val="single" w:sz="2" w:space="0" w:color="000000"/>
              <w:start w:val="single" w:sz="2" w:space="0" w:color="000000"/>
              <w:bottom w:val="single" w:sz="2" w:space="0" w:color="000000"/>
              <w:end w:val="single" w:sz="2" w:space="0" w:color="000000"/>
            </w:tcBorders>
            <w:shd w:fill="FFFFFF" w:val="clear"/>
          </w:tcPr>
          <w:p>
            <w:pPr>
              <w:pStyle w:val="Normal"/>
              <w:rPr>
                <w:rFonts w:ascii="Arial" w:hAnsi="Arial" w:cs="Arial"/>
                <w:b/>
                <w:color w:val="000000"/>
              </w:rPr>
            </w:pPr>
            <w:r>
              <w:rPr>
                <w:rFonts w:cs="Arial" w:ascii="Arial" w:hAnsi="Arial"/>
                <w:b/>
                <w:color w:val="000000"/>
              </w:rPr>
              <w:t xml:space="preserve">Dabhol Power Company  - Schedule of Insurance Covers </w:t>
            </w:r>
          </w:p>
        </w:tc>
        <w:tc>
          <w:tcPr>
            <w:tcW w:w="0" w:type="dxa"/>
            <w:vMerge w:val="continue"/>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b/>
                <w:color w:val="000000"/>
              </w:rPr>
            </w:pPr>
            <w:r>
              <w:rPr>
                <w:rFonts w:cs="Arial" w:ascii="Arial" w:hAnsi="Arial"/>
                <w:b/>
                <w:color w:val="000000"/>
              </w:rPr>
            </w:r>
          </w:p>
        </w:tc>
        <w:tc>
          <w:tcPr>
            <w:tcW w:w="0" w:type="dxa"/>
            <w:vMerge w:val="continue"/>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color w:val="000000"/>
              </w:rPr>
            </w:pPr>
            <w:r>
              <w:rPr>
                <w:rFonts w:cs="Arial" w:ascii="Arial" w:hAnsi="Arial"/>
                <w:color w:val="000000"/>
              </w:rPr>
            </w:r>
          </w:p>
        </w:tc>
        <w:tc>
          <w:tcPr>
            <w:tcW w:w="0" w:type="dxa"/>
            <w:vMerge w:val="continue"/>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80" w:type="dxa"/>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color w:val="000000"/>
              </w:rPr>
            </w:pPr>
            <w:r>
              <w:rPr>
                <w:rFonts w:cs="Arial" w:ascii="Arial" w:hAnsi="Arial"/>
                <w:color w:val="000000"/>
              </w:rPr>
            </w:r>
          </w:p>
        </w:tc>
        <w:tc>
          <w:tcPr>
            <w:tcW w:w="990" w:type="dxa"/>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color w:val="000000"/>
              </w:rPr>
            </w:pPr>
            <w:r>
              <w:rPr>
                <w:rFonts w:cs="Arial" w:ascii="Arial" w:hAnsi="Arial"/>
                <w:color w:val="000000"/>
              </w:rPr>
            </w:r>
          </w:p>
        </w:tc>
        <w:tc>
          <w:tcPr>
            <w:tcW w:w="990" w:type="dxa"/>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color w:val="000000"/>
              </w:rPr>
            </w:pPr>
            <w:r>
              <w:rPr>
                <w:rFonts w:cs="Arial" w:ascii="Arial" w:hAnsi="Arial"/>
                <w:color w:val="000000"/>
              </w:rPr>
            </w:r>
          </w:p>
        </w:tc>
        <w:tc>
          <w:tcPr>
            <w:tcW w:w="2070" w:type="dxa"/>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110" w:hRule="atLeast"/>
        </w:trPr>
        <w:tc>
          <w:tcPr>
            <w:tcW w:w="454" w:type="dxa"/>
            <w:tcBorders>
              <w:top w:val="single" w:sz="2" w:space="0" w:color="000000"/>
              <w:start w:val="single" w:sz="2" w:space="0" w:color="000000"/>
              <w:bottom w:val="single" w:sz="6" w:space="0" w:color="000000"/>
              <w:end w:val="single" w:sz="2" w:space="0" w:color="000000"/>
            </w:tcBorders>
            <w:shd w:fill="FFFFFF" w:val="clear"/>
          </w:tcPr>
          <w:p>
            <w:pPr>
              <w:pStyle w:val="Normal"/>
              <w:snapToGrid w:val="false"/>
              <w:jc w:val="end"/>
              <w:rPr>
                <w:rFonts w:ascii="Arial" w:hAnsi="Arial" w:cs="Arial"/>
                <w:b/>
                <w:color w:val="000000"/>
                <w:sz w:val="18"/>
              </w:rPr>
            </w:pPr>
            <w:r>
              <w:rPr>
                <w:rFonts w:cs="Arial" w:ascii="Arial" w:hAnsi="Arial"/>
                <w:b/>
                <w:color w:val="000000"/>
                <w:sz w:val="18"/>
              </w:rPr>
            </w:r>
          </w:p>
        </w:tc>
        <w:tc>
          <w:tcPr>
            <w:tcW w:w="2712" w:type="dxa"/>
            <w:tcBorders>
              <w:top w:val="single" w:sz="2" w:space="0" w:color="000000"/>
              <w:start w:val="single" w:sz="2" w:space="0" w:color="000000"/>
              <w:bottom w:val="single" w:sz="6" w:space="0" w:color="000000"/>
              <w:end w:val="single" w:sz="2" w:space="0" w:color="000000"/>
            </w:tcBorders>
            <w:shd w:fill="FFFFFF" w:val="clear"/>
          </w:tcPr>
          <w:p>
            <w:pPr>
              <w:pStyle w:val="Normal"/>
              <w:snapToGrid w:val="false"/>
              <w:jc w:val="end"/>
              <w:rPr>
                <w:rFonts w:ascii="Arial" w:hAnsi="Arial" w:cs="Arial"/>
                <w:b/>
                <w:color w:val="000000"/>
                <w:sz w:val="18"/>
              </w:rPr>
            </w:pPr>
            <w:r>
              <w:rPr>
                <w:rFonts w:cs="Arial" w:ascii="Arial" w:hAnsi="Arial"/>
                <w:b/>
                <w:color w:val="000000"/>
                <w:sz w:val="18"/>
              </w:rPr>
            </w:r>
          </w:p>
        </w:tc>
        <w:tc>
          <w:tcPr>
            <w:tcW w:w="1094" w:type="dxa"/>
            <w:tcBorders>
              <w:top w:val="single" w:sz="2" w:space="0" w:color="000000"/>
              <w:start w:val="single" w:sz="2" w:space="0" w:color="000000"/>
              <w:bottom w:val="single" w:sz="6" w:space="0" w:color="000000"/>
              <w:end w:val="single" w:sz="2" w:space="0" w:color="000000"/>
            </w:tcBorders>
            <w:shd w:fill="FFFFFF" w:val="clear"/>
          </w:tcPr>
          <w:p>
            <w:pPr>
              <w:pStyle w:val="Normal"/>
              <w:snapToGrid w:val="false"/>
              <w:jc w:val="end"/>
              <w:rPr>
                <w:rFonts w:ascii="Arial" w:hAnsi="Arial" w:cs="Arial"/>
                <w:color w:val="000000"/>
              </w:rPr>
            </w:pPr>
            <w:r>
              <w:rPr>
                <w:rFonts w:cs="Arial" w:ascii="Arial" w:hAnsi="Arial"/>
                <w:color w:val="000000"/>
              </w:rPr>
            </w:r>
          </w:p>
        </w:tc>
        <w:tc>
          <w:tcPr>
            <w:tcW w:w="720" w:type="dxa"/>
            <w:tcBorders>
              <w:top w:val="single" w:sz="2" w:space="0" w:color="000000"/>
              <w:start w:val="single" w:sz="2" w:space="0" w:color="000000"/>
              <w:bottom w:val="single" w:sz="6" w:space="0" w:color="000000"/>
              <w:end w:val="single" w:sz="2" w:space="0" w:color="000000"/>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80" w:type="dxa"/>
            <w:tcBorders>
              <w:top w:val="single" w:sz="2" w:space="0" w:color="000000"/>
              <w:start w:val="single" w:sz="2" w:space="0" w:color="000000"/>
              <w:bottom w:val="single" w:sz="6" w:space="0" w:color="000000"/>
              <w:end w:val="single" w:sz="2" w:space="0" w:color="000000"/>
            </w:tcBorders>
            <w:shd w:fill="FFFFFF" w:val="clear"/>
          </w:tcPr>
          <w:p>
            <w:pPr>
              <w:pStyle w:val="Normal"/>
              <w:snapToGrid w:val="false"/>
              <w:jc w:val="end"/>
              <w:rPr>
                <w:rFonts w:ascii="Arial" w:hAnsi="Arial" w:cs="Arial"/>
                <w:color w:val="000000"/>
              </w:rPr>
            </w:pPr>
            <w:r>
              <w:rPr>
                <w:rFonts w:cs="Arial" w:ascii="Arial" w:hAnsi="Arial"/>
                <w:color w:val="000000"/>
              </w:rPr>
            </w:r>
          </w:p>
        </w:tc>
        <w:tc>
          <w:tcPr>
            <w:tcW w:w="990" w:type="dxa"/>
            <w:tcBorders>
              <w:top w:val="single" w:sz="2" w:space="0" w:color="000000"/>
              <w:start w:val="single" w:sz="2" w:space="0" w:color="000000"/>
              <w:bottom w:val="single" w:sz="6" w:space="0" w:color="000000"/>
              <w:end w:val="single" w:sz="2" w:space="0" w:color="000000"/>
            </w:tcBorders>
            <w:shd w:fill="FFFFFF" w:val="clear"/>
          </w:tcPr>
          <w:p>
            <w:pPr>
              <w:pStyle w:val="Normal"/>
              <w:snapToGrid w:val="false"/>
              <w:jc w:val="end"/>
              <w:rPr>
                <w:rFonts w:ascii="Arial" w:hAnsi="Arial" w:cs="Arial"/>
                <w:color w:val="000000"/>
              </w:rPr>
            </w:pPr>
            <w:r>
              <w:rPr>
                <w:rFonts w:cs="Arial" w:ascii="Arial" w:hAnsi="Arial"/>
                <w:color w:val="000000"/>
              </w:rPr>
            </w:r>
          </w:p>
        </w:tc>
        <w:tc>
          <w:tcPr>
            <w:tcW w:w="990" w:type="dxa"/>
            <w:tcBorders>
              <w:top w:val="single" w:sz="2" w:space="0" w:color="000000"/>
              <w:start w:val="single" w:sz="2" w:space="0" w:color="000000"/>
              <w:bottom w:val="single" w:sz="6" w:space="0" w:color="000000"/>
              <w:end w:val="single" w:sz="2" w:space="0" w:color="000000"/>
            </w:tcBorders>
            <w:shd w:fill="FFFFFF" w:val="clear"/>
          </w:tcPr>
          <w:p>
            <w:pPr>
              <w:pStyle w:val="Normal"/>
              <w:snapToGrid w:val="false"/>
              <w:jc w:val="end"/>
              <w:rPr>
                <w:rFonts w:ascii="Arial" w:hAnsi="Arial" w:cs="Arial"/>
                <w:color w:val="000000"/>
              </w:rPr>
            </w:pPr>
            <w:r>
              <w:rPr>
                <w:rFonts w:cs="Arial" w:ascii="Arial" w:hAnsi="Arial"/>
                <w:color w:val="000000"/>
              </w:rPr>
            </w:r>
          </w:p>
        </w:tc>
        <w:tc>
          <w:tcPr>
            <w:tcW w:w="2070" w:type="dxa"/>
            <w:tcBorders>
              <w:top w:val="single" w:sz="2" w:space="0" w:color="000000"/>
              <w:start w:val="single" w:sz="2" w:space="0" w:color="000000"/>
              <w:bottom w:val="single" w:sz="6" w:space="0" w:color="000000"/>
              <w:end w:val="single" w:sz="2" w:space="0" w:color="000000"/>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110" w:hRule="atLeast"/>
        </w:trPr>
        <w:tc>
          <w:tcPr>
            <w:tcW w:w="454" w:type="dxa"/>
            <w:tcBorders>
              <w:top w:val="single" w:sz="6" w:space="0" w:color="000000"/>
              <w:start w:val="single" w:sz="6" w:space="0" w:color="000000"/>
              <w:bottom w:val="single" w:sz="6" w:space="0" w:color="000000"/>
              <w:end w:val="single" w:sz="6" w:space="0" w:color="000000"/>
            </w:tcBorders>
            <w:shd w:fill="FFFFFF" w:val="clear"/>
          </w:tcPr>
          <w:p>
            <w:pPr>
              <w:pStyle w:val="Normal"/>
              <w:jc w:val="end"/>
              <w:rPr>
                <w:rFonts w:ascii="Arial" w:hAnsi="Arial" w:cs="Arial"/>
                <w:b/>
                <w:color w:val="000000"/>
                <w:sz w:val="18"/>
              </w:rPr>
            </w:pPr>
            <w:r>
              <w:rPr>
                <w:rFonts w:cs="Arial" w:ascii="Arial" w:hAnsi="Arial"/>
                <w:b/>
                <w:color w:val="000000"/>
                <w:sz w:val="18"/>
              </w:rPr>
              <w:t>Sr. No.</w:t>
            </w:r>
          </w:p>
        </w:tc>
        <w:tc>
          <w:tcPr>
            <w:tcW w:w="2712"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b/>
                <w:color w:val="000000"/>
                <w:sz w:val="18"/>
              </w:rPr>
            </w:pPr>
            <w:r>
              <w:rPr>
                <w:rFonts w:cs="Arial" w:ascii="Arial" w:hAnsi="Arial"/>
                <w:b/>
                <w:color w:val="000000"/>
                <w:sz w:val="18"/>
              </w:rPr>
              <w:t>Policy</w:t>
            </w:r>
          </w:p>
        </w:tc>
        <w:tc>
          <w:tcPr>
            <w:tcW w:w="1094" w:type="dxa"/>
            <w:tcBorders>
              <w:top w:val="single" w:sz="6" w:space="0" w:color="000000"/>
              <w:start w:val="single" w:sz="6" w:space="0" w:color="000000"/>
              <w:bottom w:val="single" w:sz="6" w:space="0" w:color="000000"/>
              <w:end w:val="single" w:sz="6" w:space="0" w:color="000000"/>
            </w:tcBorders>
            <w:shd w:fill="FFFFFF" w:val="clear"/>
          </w:tcPr>
          <w:p>
            <w:pPr>
              <w:pStyle w:val="Normal"/>
              <w:jc w:val="end"/>
              <w:rPr>
                <w:rFonts w:ascii="Arial" w:hAnsi="Arial" w:cs="Arial"/>
                <w:b/>
                <w:color w:val="000000"/>
                <w:sz w:val="18"/>
              </w:rPr>
            </w:pPr>
            <w:r>
              <w:rPr>
                <w:rFonts w:cs="Arial" w:ascii="Arial" w:hAnsi="Arial"/>
                <w:b/>
                <w:color w:val="000000"/>
                <w:sz w:val="18"/>
              </w:rPr>
              <w:t>Sum Insured</w:t>
            </w:r>
          </w:p>
        </w:tc>
        <w:tc>
          <w:tcPr>
            <w:tcW w:w="72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b/>
                <w:color w:val="000000"/>
                <w:sz w:val="18"/>
              </w:rPr>
            </w:pPr>
            <w:r>
              <w:rPr>
                <w:rFonts w:cs="Arial" w:ascii="Arial" w:hAnsi="Arial"/>
                <w:b/>
                <w:color w:val="000000"/>
                <w:sz w:val="18"/>
              </w:rPr>
              <w:t>Premium - INR</w:t>
            </w:r>
          </w:p>
        </w:tc>
        <w:tc>
          <w:tcPr>
            <w:tcW w:w="108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b/>
                <w:color w:val="000000"/>
                <w:sz w:val="18"/>
              </w:rPr>
            </w:pPr>
            <w:r>
              <w:rPr>
                <w:rFonts w:cs="Arial" w:ascii="Arial" w:hAnsi="Arial"/>
                <w:b/>
                <w:color w:val="000000"/>
                <w:sz w:val="18"/>
              </w:rPr>
              <w:t>Premium - USD</w:t>
            </w:r>
          </w:p>
        </w:tc>
        <w:tc>
          <w:tcPr>
            <w:tcW w:w="99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b/>
                <w:color w:val="000000"/>
                <w:sz w:val="18"/>
              </w:rPr>
            </w:pPr>
            <w:r>
              <w:rPr>
                <w:rFonts w:cs="Arial" w:ascii="Arial" w:hAnsi="Arial"/>
                <w:b/>
                <w:color w:val="000000"/>
                <w:sz w:val="18"/>
              </w:rPr>
              <w:t>Period of Insurance</w:t>
            </w:r>
          </w:p>
        </w:tc>
        <w:tc>
          <w:tcPr>
            <w:tcW w:w="99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b/>
                <w:color w:val="000000"/>
                <w:sz w:val="18"/>
              </w:rPr>
            </w:pPr>
            <w:r>
              <w:rPr>
                <w:rFonts w:cs="Arial" w:ascii="Arial" w:hAnsi="Arial"/>
                <w:b/>
                <w:color w:val="000000"/>
                <w:sz w:val="18"/>
              </w:rPr>
              <w:t>Insurer</w:t>
            </w:r>
          </w:p>
        </w:tc>
        <w:tc>
          <w:tcPr>
            <w:tcW w:w="207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b/>
                <w:color w:val="000000"/>
                <w:sz w:val="18"/>
              </w:rPr>
            </w:pPr>
            <w:r>
              <w:rPr>
                <w:rFonts w:cs="Arial" w:ascii="Arial" w:hAnsi="Arial"/>
                <w:b/>
                <w:color w:val="000000"/>
                <w:sz w:val="18"/>
              </w:rPr>
              <w:t>Policy No.</w:t>
            </w:r>
          </w:p>
        </w:tc>
      </w:tr>
      <w:tr>
        <w:trPr>
          <w:trHeight w:val="110" w:hRule="atLeast"/>
        </w:trPr>
        <w:tc>
          <w:tcPr>
            <w:tcW w:w="454" w:type="dxa"/>
            <w:tcBorders>
              <w:top w:val="single" w:sz="6"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b/>
                <w:color w:val="000000"/>
                <w:sz w:val="18"/>
              </w:rPr>
            </w:pPr>
            <w:r>
              <w:rPr>
                <w:rFonts w:cs="Arial" w:ascii="Arial" w:hAnsi="Arial"/>
                <w:b/>
                <w:color w:val="000000"/>
                <w:sz w:val="18"/>
              </w:rPr>
              <w:t>I</w:t>
            </w:r>
          </w:p>
        </w:tc>
        <w:tc>
          <w:tcPr>
            <w:tcW w:w="2712" w:type="dxa"/>
            <w:tcBorders>
              <w:top w:val="single" w:sz="6" w:space="0" w:color="000000"/>
              <w:start w:val="single" w:sz="6" w:space="0" w:color="000000"/>
              <w:bottom w:val="single" w:sz="2" w:space="0" w:color="000000"/>
              <w:end w:val="single" w:sz="6" w:space="0" w:color="000000"/>
            </w:tcBorders>
            <w:shd w:fill="FFFFFF" w:val="clear"/>
          </w:tcPr>
          <w:p>
            <w:pPr>
              <w:pStyle w:val="Normal"/>
              <w:rPr>
                <w:rFonts w:ascii="Arial" w:hAnsi="Arial" w:cs="Arial"/>
                <w:b/>
                <w:color w:val="000000"/>
                <w:sz w:val="18"/>
              </w:rPr>
            </w:pPr>
            <w:r>
              <w:rPr>
                <w:rFonts w:cs="Arial" w:ascii="Arial" w:hAnsi="Arial"/>
                <w:b/>
                <w:color w:val="000000"/>
                <w:sz w:val="18"/>
              </w:rPr>
              <w:t>Non Project Insurances</w:t>
            </w:r>
          </w:p>
        </w:tc>
        <w:tc>
          <w:tcPr>
            <w:tcW w:w="1094" w:type="dxa"/>
            <w:tcBorders>
              <w:top w:val="single" w:sz="6"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b/>
                <w:color w:val="000000"/>
                <w:sz w:val="18"/>
              </w:rPr>
            </w:pPr>
            <w:r>
              <w:rPr>
                <w:rFonts w:cs="Arial" w:ascii="Arial" w:hAnsi="Arial"/>
                <w:b/>
                <w:color w:val="000000"/>
                <w:sz w:val="18"/>
              </w:rPr>
            </w:r>
          </w:p>
        </w:tc>
        <w:tc>
          <w:tcPr>
            <w:tcW w:w="720" w:type="dxa"/>
            <w:tcBorders>
              <w:top w:val="single" w:sz="6"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80" w:type="dxa"/>
            <w:tcBorders>
              <w:top w:val="single" w:sz="6"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rPr>
            </w:pPr>
            <w:r>
              <w:rPr>
                <w:rFonts w:cs="Arial" w:ascii="Arial" w:hAnsi="Arial"/>
                <w:color w:val="000000"/>
              </w:rPr>
            </w:r>
          </w:p>
        </w:tc>
        <w:tc>
          <w:tcPr>
            <w:tcW w:w="990" w:type="dxa"/>
            <w:tcBorders>
              <w:top w:val="single" w:sz="6"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rPr>
            </w:pPr>
            <w:r>
              <w:rPr>
                <w:rFonts w:cs="Arial" w:ascii="Arial" w:hAnsi="Arial"/>
                <w:color w:val="000000"/>
              </w:rPr>
            </w:r>
          </w:p>
        </w:tc>
        <w:tc>
          <w:tcPr>
            <w:tcW w:w="990" w:type="dxa"/>
            <w:tcBorders>
              <w:top w:val="single" w:sz="6"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rPr>
            </w:pPr>
            <w:r>
              <w:rPr>
                <w:rFonts w:cs="Arial" w:ascii="Arial" w:hAnsi="Arial"/>
                <w:color w:val="000000"/>
              </w:rPr>
            </w:r>
          </w:p>
        </w:tc>
        <w:tc>
          <w:tcPr>
            <w:tcW w:w="2070" w:type="dxa"/>
            <w:tcBorders>
              <w:top w:val="single" w:sz="6"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110"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1</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Fire Insurance - Andheri</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39,881,000</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31,723 </w:t>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April 1,2000 to March 31,2001</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United India</w:t>
            </w:r>
          </w:p>
        </w:tc>
        <w:tc>
          <w:tcPr>
            <w:tcW w:w="207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20100/11/011/1895/99</w:t>
            </w:r>
          </w:p>
        </w:tc>
      </w:tr>
      <w:tr>
        <w:trPr>
          <w:trHeight w:val="110"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2</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Fire Insurance - Guhagar</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8,869,000</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6,833 </w:t>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April 1,2000 to March 31,2001</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United India</w:t>
            </w:r>
          </w:p>
        </w:tc>
        <w:tc>
          <w:tcPr>
            <w:tcW w:w="207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20100/11/011/1824/99</w:t>
            </w:r>
          </w:p>
        </w:tc>
      </w:tr>
      <w:tr>
        <w:trPr>
          <w:trHeight w:val="110"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3</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Machinery Breakdown</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6,875,000</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102,867 </w:t>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April 1,2000 to March 31,2001</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United India</w:t>
            </w:r>
          </w:p>
        </w:tc>
        <w:tc>
          <w:tcPr>
            <w:tcW w:w="207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20100/32/1/005/99</w:t>
            </w:r>
          </w:p>
        </w:tc>
      </w:tr>
      <w:tr>
        <w:trPr>
          <w:trHeight w:val="110"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4</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Electronic Equipment</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8,247,000</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78,397 </w:t>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April 1,2000 to March 31,2001</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United India</w:t>
            </w:r>
          </w:p>
        </w:tc>
        <w:tc>
          <w:tcPr>
            <w:tcW w:w="207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20100/39/1/006/99</w:t>
            </w:r>
          </w:p>
        </w:tc>
      </w:tr>
      <w:tr>
        <w:trPr>
          <w:trHeight w:val="110"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b/>
                <w:color w:val="000000"/>
                <w:sz w:val="16"/>
              </w:rPr>
            </w:pPr>
            <w:r>
              <w:rPr>
                <w:rFonts w:cs="Arial" w:ascii="Arial" w:hAnsi="Arial"/>
                <w:b/>
                <w:color w:val="000000"/>
                <w:sz w:val="16"/>
              </w:rPr>
              <w:t>5</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b/>
                <w:color w:val="000000"/>
                <w:sz w:val="16"/>
              </w:rPr>
            </w:pPr>
            <w:r>
              <w:rPr>
                <w:rFonts w:cs="Arial" w:ascii="Arial" w:hAnsi="Arial"/>
                <w:b/>
                <w:color w:val="000000"/>
                <w:sz w:val="16"/>
              </w:rPr>
              <w:t>All Risks</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1,007,000</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8,987 </w:t>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April 1,2000 to March 31,2001</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United India</w:t>
            </w:r>
          </w:p>
        </w:tc>
        <w:tc>
          <w:tcPr>
            <w:tcW w:w="207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20100/46/1/0189</w:t>
            </w:r>
          </w:p>
        </w:tc>
      </w:tr>
      <w:tr>
        <w:trPr>
          <w:trHeight w:val="110"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b/>
                <w:color w:val="000000"/>
                <w:sz w:val="16"/>
              </w:rPr>
            </w:pPr>
            <w:r>
              <w:rPr>
                <w:rFonts w:cs="Arial" w:ascii="Arial" w:hAnsi="Arial"/>
                <w:b/>
                <w:color w:val="000000"/>
                <w:sz w:val="16"/>
              </w:rPr>
              <w:t>6</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b/>
                <w:color w:val="000000"/>
                <w:sz w:val="16"/>
              </w:rPr>
            </w:pPr>
            <w:r>
              <w:rPr>
                <w:rFonts w:cs="Arial" w:ascii="Arial" w:hAnsi="Arial"/>
                <w:b/>
                <w:color w:val="000000"/>
                <w:sz w:val="16"/>
              </w:rPr>
              <w:t>Workmen's Compensation</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19,833,973</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59,330 </w:t>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April 1,2000 to March 31,2001</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United India</w:t>
            </w:r>
          </w:p>
        </w:tc>
        <w:tc>
          <w:tcPr>
            <w:tcW w:w="207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20100/52/1/026</w:t>
            </w:r>
          </w:p>
        </w:tc>
      </w:tr>
      <w:tr>
        <w:trPr>
          <w:trHeight w:val="110"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b/>
                <w:color w:val="000000"/>
                <w:sz w:val="16"/>
              </w:rPr>
            </w:pPr>
            <w:r>
              <w:rPr>
                <w:rFonts w:cs="Arial" w:ascii="Arial" w:hAnsi="Arial"/>
                <w:b/>
                <w:color w:val="000000"/>
                <w:sz w:val="16"/>
              </w:rPr>
              <w:t>7</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b/>
                <w:color w:val="000000"/>
                <w:sz w:val="16"/>
              </w:rPr>
            </w:pPr>
            <w:r>
              <w:rPr>
                <w:rFonts w:cs="Arial" w:ascii="Arial" w:hAnsi="Arial"/>
                <w:b/>
                <w:color w:val="000000"/>
                <w:sz w:val="16"/>
              </w:rPr>
              <w:t>Group Personal Accident</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284,681,400</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348,517 </w:t>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April 1,2000 to March 31,2001</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United India</w:t>
            </w:r>
          </w:p>
        </w:tc>
        <w:tc>
          <w:tcPr>
            <w:tcW w:w="207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20100/68/1/0341</w:t>
            </w:r>
          </w:p>
        </w:tc>
      </w:tr>
      <w:tr>
        <w:trPr>
          <w:trHeight w:val="110"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b/>
                <w:color w:val="000000"/>
                <w:sz w:val="16"/>
              </w:rPr>
            </w:pPr>
            <w:r>
              <w:rPr>
                <w:rFonts w:cs="Arial" w:ascii="Arial" w:hAnsi="Arial"/>
                <w:b/>
                <w:color w:val="000000"/>
                <w:sz w:val="16"/>
              </w:rPr>
              <w:t>8</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b/>
                <w:color w:val="000000"/>
                <w:sz w:val="16"/>
              </w:rPr>
            </w:pPr>
            <w:r>
              <w:rPr>
                <w:rFonts w:cs="Arial" w:ascii="Arial" w:hAnsi="Arial"/>
                <w:b/>
                <w:color w:val="000000"/>
                <w:sz w:val="16"/>
              </w:rPr>
              <w:t>Public Liability (Non-Industrial)</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80,000,000</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141,607 </w:t>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April 1,2000 to March 31,2001</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United India</w:t>
            </w:r>
          </w:p>
        </w:tc>
        <w:tc>
          <w:tcPr>
            <w:tcW w:w="207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20100/49/1/30/99</w:t>
            </w:r>
          </w:p>
        </w:tc>
      </w:tr>
      <w:tr>
        <w:trPr>
          <w:trHeight w:val="110"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b/>
                <w:color w:val="000000"/>
                <w:sz w:val="16"/>
              </w:rPr>
            </w:pPr>
            <w:r>
              <w:rPr>
                <w:rFonts w:cs="Arial" w:ascii="Arial" w:hAnsi="Arial"/>
                <w:b/>
                <w:color w:val="000000"/>
                <w:sz w:val="16"/>
              </w:rPr>
              <w:t>9</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b/>
                <w:color w:val="000000"/>
                <w:sz w:val="16"/>
              </w:rPr>
            </w:pPr>
            <w:r>
              <w:rPr>
                <w:rFonts w:cs="Arial" w:ascii="Arial" w:hAnsi="Arial"/>
                <w:b/>
                <w:color w:val="000000"/>
                <w:sz w:val="16"/>
              </w:rPr>
              <w:t>Fidelity Guarantee</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3,000,000</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1,596 </w:t>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April 1,2000 to March 31,2001</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United India</w:t>
            </w:r>
          </w:p>
        </w:tc>
        <w:tc>
          <w:tcPr>
            <w:tcW w:w="207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20100/48/1/097</w:t>
            </w:r>
          </w:p>
        </w:tc>
      </w:tr>
      <w:tr>
        <w:trPr>
          <w:trHeight w:val="110"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b/>
                <w:color w:val="000000"/>
                <w:sz w:val="16"/>
              </w:rPr>
            </w:pPr>
            <w:r>
              <w:rPr>
                <w:rFonts w:cs="Arial" w:ascii="Arial" w:hAnsi="Arial"/>
                <w:b/>
                <w:color w:val="000000"/>
                <w:sz w:val="16"/>
              </w:rPr>
              <w:t>10</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b/>
                <w:color w:val="000000"/>
                <w:sz w:val="16"/>
              </w:rPr>
            </w:pPr>
            <w:r>
              <w:rPr>
                <w:rFonts w:cs="Arial" w:ascii="Arial" w:hAnsi="Arial"/>
                <w:b/>
                <w:color w:val="000000"/>
                <w:sz w:val="16"/>
              </w:rPr>
              <w:t>Group Medi-claim - Standard</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200,000</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179,785 </w:t>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April 1,2000 to March 31,2001</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United India</w:t>
            </w:r>
          </w:p>
        </w:tc>
        <w:tc>
          <w:tcPr>
            <w:tcW w:w="207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20100/60/1/105</w:t>
            </w:r>
          </w:p>
        </w:tc>
      </w:tr>
      <w:tr>
        <w:trPr>
          <w:trHeight w:val="110"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b/>
                <w:color w:val="000000"/>
                <w:sz w:val="16"/>
              </w:rPr>
            </w:pPr>
            <w:r>
              <w:rPr>
                <w:rFonts w:cs="Arial" w:ascii="Arial" w:hAnsi="Arial"/>
                <w:b/>
                <w:color w:val="000000"/>
                <w:sz w:val="16"/>
              </w:rPr>
              <w:t>11</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b/>
                <w:color w:val="000000"/>
                <w:sz w:val="16"/>
              </w:rPr>
            </w:pPr>
            <w:r>
              <w:rPr>
                <w:rFonts w:cs="Arial" w:ascii="Arial" w:hAnsi="Arial"/>
                <w:b/>
                <w:color w:val="000000"/>
                <w:sz w:val="16"/>
              </w:rPr>
              <w:t>Group Medi-claim - Floater</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800,000</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154,493 </w:t>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April 1,2000 to March 31,2001</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United India</w:t>
            </w:r>
          </w:p>
        </w:tc>
        <w:tc>
          <w:tcPr>
            <w:tcW w:w="207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20100/60/1/099</w:t>
            </w:r>
          </w:p>
        </w:tc>
      </w:tr>
      <w:tr>
        <w:trPr>
          <w:trHeight w:val="110"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b/>
                <w:color w:val="000000"/>
                <w:sz w:val="16"/>
              </w:rPr>
            </w:pPr>
            <w:r>
              <w:rPr>
                <w:rFonts w:cs="Arial" w:ascii="Arial" w:hAnsi="Arial"/>
                <w:b/>
                <w:color w:val="000000"/>
                <w:sz w:val="16"/>
              </w:rPr>
              <w:t>12</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b/>
                <w:color w:val="000000"/>
                <w:sz w:val="16"/>
              </w:rPr>
            </w:pPr>
            <w:r>
              <w:rPr>
                <w:rFonts w:cs="Arial" w:ascii="Arial" w:hAnsi="Arial"/>
                <w:b/>
                <w:color w:val="000000"/>
                <w:sz w:val="16"/>
              </w:rPr>
              <w:t>Cash-in-Transit - Adh to Bank</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100,000</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1,785 </w:t>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April 1,2000 to March 31,2001</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United India</w:t>
            </w:r>
          </w:p>
        </w:tc>
        <w:tc>
          <w:tcPr>
            <w:tcW w:w="207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20100/43/1/0186</w:t>
            </w:r>
          </w:p>
        </w:tc>
      </w:tr>
      <w:tr>
        <w:trPr>
          <w:trHeight w:val="110"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b/>
                <w:color w:val="000000"/>
                <w:sz w:val="16"/>
              </w:rPr>
            </w:pPr>
            <w:r>
              <w:rPr>
                <w:rFonts w:cs="Arial" w:ascii="Arial" w:hAnsi="Arial"/>
                <w:b/>
                <w:color w:val="000000"/>
                <w:sz w:val="16"/>
              </w:rPr>
              <w:t>13</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b/>
                <w:color w:val="000000"/>
                <w:sz w:val="16"/>
              </w:rPr>
            </w:pPr>
            <w:r>
              <w:rPr>
                <w:rFonts w:cs="Arial" w:ascii="Arial" w:hAnsi="Arial"/>
                <w:b/>
                <w:color w:val="000000"/>
                <w:sz w:val="16"/>
              </w:rPr>
              <w:t>Cash-in-Transit - Adh to Guhagar</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100,000</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1,115 </w:t>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April 1,2000 to March 31,2001</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United India</w:t>
            </w:r>
          </w:p>
        </w:tc>
        <w:tc>
          <w:tcPr>
            <w:tcW w:w="207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20100/43/0187</w:t>
            </w:r>
          </w:p>
        </w:tc>
      </w:tr>
      <w:tr>
        <w:trPr>
          <w:trHeight w:val="110"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b/>
                <w:color w:val="000000"/>
                <w:sz w:val="16"/>
              </w:rPr>
            </w:pPr>
            <w:r>
              <w:rPr>
                <w:rFonts w:cs="Arial" w:ascii="Arial" w:hAnsi="Arial"/>
                <w:b/>
                <w:color w:val="000000"/>
                <w:sz w:val="16"/>
              </w:rPr>
              <w:t>14</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b/>
                <w:color w:val="000000"/>
                <w:sz w:val="16"/>
              </w:rPr>
            </w:pPr>
            <w:r>
              <w:rPr>
                <w:rFonts w:cs="Arial" w:ascii="Arial" w:hAnsi="Arial"/>
                <w:b/>
                <w:color w:val="000000"/>
                <w:sz w:val="16"/>
              </w:rPr>
              <w:t>Money Insurance - DPC, Guhagar &amp; transit to Guhagar</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600,000</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607 </w:t>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April 1,2000 to March 31,2001</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United India</w:t>
            </w:r>
          </w:p>
        </w:tc>
        <w:tc>
          <w:tcPr>
            <w:tcW w:w="207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20100/43/0185</w:t>
            </w:r>
          </w:p>
        </w:tc>
      </w:tr>
      <w:tr>
        <w:trPr>
          <w:trHeight w:val="110"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b/>
                <w:color w:val="000000"/>
                <w:sz w:val="16"/>
              </w:rPr>
            </w:pPr>
            <w:r>
              <w:rPr>
                <w:rFonts w:cs="Arial" w:ascii="Arial" w:hAnsi="Arial"/>
                <w:b/>
                <w:color w:val="000000"/>
                <w:sz w:val="16"/>
              </w:rPr>
              <w:t>15</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b/>
                <w:color w:val="000000"/>
                <w:sz w:val="16"/>
              </w:rPr>
            </w:pPr>
            <w:r>
              <w:rPr>
                <w:rFonts w:cs="Arial" w:ascii="Arial" w:hAnsi="Arial"/>
                <w:b/>
                <w:color w:val="000000"/>
                <w:sz w:val="16"/>
              </w:rPr>
              <w:t>Money Insurance - DPC, Delhi &amp; transit in Delhi</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2,000,000</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982 </w:t>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April 1,2000 to March 31,2001</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United India</w:t>
            </w:r>
          </w:p>
        </w:tc>
        <w:tc>
          <w:tcPr>
            <w:tcW w:w="207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20100/43/1/0188</w:t>
            </w:r>
          </w:p>
        </w:tc>
      </w:tr>
      <w:tr>
        <w:trPr>
          <w:trHeight w:val="110"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b/>
                <w:color w:val="000000"/>
                <w:sz w:val="18"/>
              </w:rPr>
            </w:pPr>
            <w:r>
              <w:rPr>
                <w:rFonts w:cs="Arial" w:ascii="Arial" w:hAnsi="Arial"/>
                <w:b/>
                <w:color w:val="000000"/>
                <w:sz w:val="18"/>
              </w:rPr>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b/>
                <w:color w:val="000000"/>
                <w:sz w:val="18"/>
              </w:rPr>
            </w:pPr>
            <w:r>
              <w:rPr>
                <w:rFonts w:cs="Arial" w:ascii="Arial" w:hAnsi="Arial"/>
                <w:b/>
                <w:color w:val="000000"/>
                <w:sz w:val="18"/>
              </w:rPr>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rPr>
            </w:pPr>
            <w:r>
              <w:rPr>
                <w:rFonts w:cs="Arial" w:ascii="Arial" w:hAnsi="Arial"/>
                <w:color w:val="000000"/>
              </w:rPr>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b/>
                <w:color w:val="000000"/>
                <w:sz w:val="16"/>
              </w:rPr>
            </w:pPr>
            <w:r>
              <w:rPr>
                <w:rFonts w:cs="Arial" w:ascii="Arial" w:hAnsi="Arial"/>
                <w:b/>
                <w:color w:val="000000"/>
                <w:sz w:val="16"/>
              </w:rPr>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b/>
                <w:color w:val="000000"/>
                <w:sz w:val="16"/>
              </w:rPr>
            </w:pPr>
            <w:r>
              <w:rPr>
                <w:rFonts w:cs="Arial" w:ascii="Arial" w:hAnsi="Arial"/>
                <w:b/>
                <w:color w:val="000000"/>
                <w:sz w:val="16"/>
              </w:rPr>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207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106"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b/>
                <w:color w:val="000000"/>
                <w:sz w:val="18"/>
              </w:rPr>
            </w:pPr>
            <w:r>
              <w:rPr>
                <w:rFonts w:cs="Arial" w:ascii="Arial" w:hAnsi="Arial"/>
                <w:b/>
                <w:color w:val="000000"/>
                <w:sz w:val="18"/>
              </w:rPr>
              <w:t>II</w:t>
            </w:r>
          </w:p>
        </w:tc>
        <w:tc>
          <w:tcPr>
            <w:tcW w:w="3806" w:type="dxa"/>
            <w:gridSpan w:val="2"/>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b/>
                <w:color w:val="000000"/>
                <w:sz w:val="18"/>
              </w:rPr>
            </w:pPr>
            <w:r>
              <w:rPr>
                <w:rFonts w:cs="Arial" w:ascii="Arial" w:hAnsi="Arial"/>
                <w:b/>
                <w:color w:val="000000"/>
                <w:sz w:val="18"/>
              </w:rPr>
              <w:t>Phase II Construction Insurances</w:t>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b/>
                <w:color w:val="000000"/>
                <w:sz w:val="16"/>
              </w:rPr>
            </w:pPr>
            <w:r>
              <w:rPr>
                <w:rFonts w:cs="Arial" w:ascii="Arial" w:hAnsi="Arial"/>
                <w:b/>
                <w:color w:val="000000"/>
                <w:sz w:val="16"/>
              </w:rPr>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207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r>
        <w:trPr>
          <w:trHeight w:val="98"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1</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CAR/DSU</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2,107,175,000 </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14,729,802 </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44 months from Dec 22,1998</w:t>
            </w:r>
          </w:p>
        </w:tc>
        <w:tc>
          <w:tcPr>
            <w:tcW w:w="3060" w:type="dxa"/>
            <w:gridSpan w:val="2"/>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United India</w:t>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r>
        <w:trPr>
          <w:trHeight w:val="98"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2</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Marine Cargo</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945,000 </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44 months from Dec 22,1998</w:t>
            </w:r>
          </w:p>
        </w:tc>
        <w:tc>
          <w:tcPr>
            <w:tcW w:w="3060" w:type="dxa"/>
            <w:gridSpan w:val="2"/>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United India</w:t>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r>
        <w:trPr>
          <w:trHeight w:val="98"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3</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Cargo/DSU</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3,267,495 </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44 months from Dec 22,1998</w:t>
            </w:r>
          </w:p>
        </w:tc>
        <w:tc>
          <w:tcPr>
            <w:tcW w:w="3060" w:type="dxa"/>
            <w:gridSpan w:val="2"/>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United India</w:t>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r>
        <w:trPr>
          <w:trHeight w:val="98"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4</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Non-Marine Primary Liability</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5,000,000 </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281,250 </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44 months from Dec 22,1998</w:t>
            </w:r>
          </w:p>
        </w:tc>
        <w:tc>
          <w:tcPr>
            <w:tcW w:w="3060" w:type="dxa"/>
            <w:gridSpan w:val="2"/>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United India</w:t>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r>
        <w:trPr>
          <w:trHeight w:val="98"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5</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Non-Marine XS Liability</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10,000,000 </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475,000 </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44 months from Dec 22,1998</w:t>
            </w:r>
          </w:p>
        </w:tc>
        <w:tc>
          <w:tcPr>
            <w:tcW w:w="3060" w:type="dxa"/>
            <w:gridSpan w:val="2"/>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Lambert Fenchurch</w:t>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r>
        <w:trPr>
          <w:trHeight w:val="98"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6</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XS Operational Wrap-up Liability - Marine Liability</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75,000,000 </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225,000 </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44 months from Dec 22,1998</w:t>
            </w:r>
          </w:p>
        </w:tc>
        <w:tc>
          <w:tcPr>
            <w:tcW w:w="3060" w:type="dxa"/>
            <w:gridSpan w:val="2"/>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Lambert Fenchurch</w:t>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r>
        <w:trPr>
          <w:trHeight w:val="98"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7</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XS Operational Wrap-up Liability - Non - Marine Liability</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85,000,000 </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44 months from Dec 22,1998</w:t>
            </w:r>
          </w:p>
        </w:tc>
        <w:tc>
          <w:tcPr>
            <w:tcW w:w="3060" w:type="dxa"/>
            <w:gridSpan w:val="2"/>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Lambert Fenchurch</w:t>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r>
        <w:trPr>
          <w:trHeight w:val="98"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8</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General Liability/Automobile Liability/ Excess Liability - US Jurisdiction</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15,000,000 </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195,293 </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44 months from Dec 22,1998</w:t>
            </w:r>
          </w:p>
        </w:tc>
        <w:tc>
          <w:tcPr>
            <w:tcW w:w="3060" w:type="dxa"/>
            <w:gridSpan w:val="2"/>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Lambert Fenchurch</w:t>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r>
        <w:trPr>
          <w:trHeight w:val="98"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9</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Workers Compensation - Texas Benefits for US Expats</w:t>
            </w:r>
          </w:p>
        </w:tc>
        <w:tc>
          <w:tcPr>
            <w:tcW w:w="1814" w:type="dxa"/>
            <w:gridSpan w:val="2"/>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Statutory Limits </w:t>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1,500 </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44 months from Dec 22,1998</w:t>
            </w:r>
          </w:p>
        </w:tc>
        <w:tc>
          <w:tcPr>
            <w:tcW w:w="3060" w:type="dxa"/>
            <w:gridSpan w:val="2"/>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Lambert Fenchurch</w:t>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r>
        <w:trPr>
          <w:trHeight w:val="98"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10</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 xml:space="preserve">Marine Package </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Various </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3,464,990 </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44 months from Dec 22,1998</w:t>
            </w:r>
          </w:p>
        </w:tc>
        <w:tc>
          <w:tcPr>
            <w:tcW w:w="3060" w:type="dxa"/>
            <w:gridSpan w:val="2"/>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United India</w:t>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r>
        <w:trPr>
          <w:trHeight w:val="98"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11</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LNG Tanker - DSU Only</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427,500,000 </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2,364,327 </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44 months from Dec 22,1998</w:t>
            </w:r>
          </w:p>
        </w:tc>
        <w:tc>
          <w:tcPr>
            <w:tcW w:w="3060" w:type="dxa"/>
            <w:gridSpan w:val="2"/>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United India</w:t>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r>
        <w:trPr>
          <w:trHeight w:val="106"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b/>
                <w:color w:val="000000"/>
                <w:sz w:val="18"/>
              </w:rPr>
            </w:pPr>
            <w:r>
              <w:rPr>
                <w:rFonts w:cs="Arial" w:ascii="Arial" w:hAnsi="Arial"/>
                <w:b/>
                <w:color w:val="000000"/>
                <w:sz w:val="18"/>
              </w:rPr>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b/>
                <w:color w:val="000000"/>
                <w:sz w:val="16"/>
              </w:rPr>
            </w:pPr>
            <w:r>
              <w:rPr>
                <w:rFonts w:cs="Arial" w:ascii="Arial" w:hAnsi="Arial"/>
                <w:b/>
                <w:color w:val="000000"/>
                <w:sz w:val="16"/>
              </w:rPr>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207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r>
        <w:trPr>
          <w:trHeight w:val="106"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b/>
                <w:color w:val="000000"/>
                <w:sz w:val="18"/>
              </w:rPr>
            </w:pPr>
            <w:r>
              <w:rPr>
                <w:rFonts w:cs="Arial" w:ascii="Arial" w:hAnsi="Arial"/>
                <w:b/>
                <w:color w:val="000000"/>
                <w:sz w:val="18"/>
              </w:rPr>
              <w:t>III</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b/>
                <w:color w:val="000000"/>
                <w:sz w:val="18"/>
              </w:rPr>
            </w:pPr>
            <w:r>
              <w:rPr>
                <w:rFonts w:cs="Arial" w:ascii="Arial" w:hAnsi="Arial"/>
                <w:b/>
                <w:color w:val="000000"/>
                <w:sz w:val="18"/>
              </w:rPr>
              <w:t>Phase I Operational Insurances</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b/>
                <w:color w:val="000000"/>
                <w:sz w:val="16"/>
              </w:rPr>
            </w:pPr>
            <w:r>
              <w:rPr>
                <w:rFonts w:cs="Arial" w:ascii="Arial" w:hAnsi="Arial"/>
                <w:b/>
                <w:color w:val="000000"/>
                <w:sz w:val="16"/>
              </w:rPr>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207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r>
        <w:trPr>
          <w:trHeight w:val="98"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1</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IAR - Material Damage</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599,501,245 </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2,000,000 </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May 1,2000 to April 30,2001</w:t>
            </w:r>
          </w:p>
        </w:tc>
        <w:tc>
          <w:tcPr>
            <w:tcW w:w="3060" w:type="dxa"/>
            <w:gridSpan w:val="2"/>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United India</w:t>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r>
        <w:trPr>
          <w:trHeight w:val="98"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2</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IAR - Business Interruption</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415,000,000 </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180,000,000 </w:t>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May 1,2000 to April 30,2001</w:t>
            </w:r>
          </w:p>
        </w:tc>
        <w:tc>
          <w:tcPr>
            <w:tcW w:w="3060" w:type="dxa"/>
            <w:gridSpan w:val="2"/>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United India</w:t>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r>
        <w:trPr>
          <w:trHeight w:val="98"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4</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Non-Marine XS Liability</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10,000,000 </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26,250 </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May 1,2000 to April 30,2001</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Oriental</w:t>
            </w:r>
          </w:p>
        </w:tc>
        <w:tc>
          <w:tcPr>
            <w:tcW w:w="207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r>
        <w:trPr>
          <w:trHeight w:val="98"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5</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XS Operational Wrap-up Liability - Marine Liability</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75,000,000 </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207,308 </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May 1,2000 to April 30,2001</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Oriental</w:t>
            </w:r>
          </w:p>
        </w:tc>
        <w:tc>
          <w:tcPr>
            <w:tcW w:w="207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r>
        <w:trPr>
          <w:trHeight w:val="98"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6</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XS Operational Wrap-up Liability - Non - Marine Liability</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85,000,000 </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May 1,2000 to April 30,2001</w:t>
            </w:r>
          </w:p>
        </w:tc>
        <w:tc>
          <w:tcPr>
            <w:tcW w:w="3060" w:type="dxa"/>
            <w:gridSpan w:val="2"/>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John L Wortham</w:t>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r>
        <w:trPr>
          <w:trHeight w:val="98"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7</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General Liability / Automobile Liability / Excess Liability</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15,000,000 </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59,283 </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May 1,2000 to April 30,2001</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Oriental</w:t>
            </w:r>
          </w:p>
        </w:tc>
        <w:tc>
          <w:tcPr>
            <w:tcW w:w="207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r>
        <w:trPr>
          <w:trHeight w:val="98"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8</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Workers Compensation</w:t>
            </w:r>
          </w:p>
        </w:tc>
        <w:tc>
          <w:tcPr>
            <w:tcW w:w="1814" w:type="dxa"/>
            <w:gridSpan w:val="2"/>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Statutory Limits </w:t>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1,500 </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May 1,2000 to April 30,2001</w:t>
            </w:r>
          </w:p>
        </w:tc>
        <w:tc>
          <w:tcPr>
            <w:tcW w:w="3060" w:type="dxa"/>
            <w:gridSpan w:val="2"/>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John L Wortham</w:t>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r>
        <w:trPr>
          <w:trHeight w:val="98"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9</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Marine Package</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Various </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701,843 </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44 months from Dec 22,1998</w:t>
            </w:r>
          </w:p>
        </w:tc>
        <w:tc>
          <w:tcPr>
            <w:tcW w:w="3060" w:type="dxa"/>
            <w:gridSpan w:val="2"/>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United India</w:t>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r>
        <w:trPr>
          <w:trHeight w:val="98"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10</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Non-Marine Primary Liability</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5,000,000 </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49,875 </w:t>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May 1,2000 to April 30,2001</w:t>
            </w:r>
          </w:p>
        </w:tc>
        <w:tc>
          <w:tcPr>
            <w:tcW w:w="3060" w:type="dxa"/>
            <w:gridSpan w:val="2"/>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United India</w:t>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r>
        <w:trPr>
          <w:trHeight w:val="106"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b/>
                <w:color w:val="000000"/>
                <w:sz w:val="18"/>
              </w:rPr>
            </w:pPr>
            <w:r>
              <w:rPr>
                <w:rFonts w:cs="Arial" w:ascii="Arial" w:hAnsi="Arial"/>
                <w:b/>
                <w:color w:val="000000"/>
                <w:sz w:val="18"/>
              </w:rPr>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b/>
                <w:color w:val="000000"/>
                <w:sz w:val="16"/>
              </w:rPr>
            </w:pPr>
            <w:r>
              <w:rPr>
                <w:rFonts w:cs="Arial" w:ascii="Arial" w:hAnsi="Arial"/>
                <w:b/>
                <w:color w:val="000000"/>
                <w:sz w:val="16"/>
              </w:rPr>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207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r>
        <w:trPr>
          <w:trHeight w:val="106"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b/>
                <w:color w:val="000000"/>
                <w:sz w:val="18"/>
              </w:rPr>
            </w:pPr>
            <w:r>
              <w:rPr>
                <w:rFonts w:cs="Arial" w:ascii="Arial" w:hAnsi="Arial"/>
                <w:b/>
                <w:color w:val="000000"/>
                <w:sz w:val="18"/>
              </w:rPr>
              <w:t>IV</w:t>
            </w:r>
          </w:p>
        </w:tc>
        <w:tc>
          <w:tcPr>
            <w:tcW w:w="6596" w:type="dxa"/>
            <w:gridSpan w:val="5"/>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b/>
                <w:color w:val="000000"/>
                <w:sz w:val="18"/>
              </w:rPr>
            </w:pPr>
            <w:r>
              <w:rPr>
                <w:rFonts w:cs="Arial" w:ascii="Arial" w:hAnsi="Arial"/>
                <w:b/>
                <w:color w:val="000000"/>
                <w:sz w:val="18"/>
              </w:rPr>
              <w:t>Policies common to Phase I Operational and Phase II Construction</w:t>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b/>
                <w:color w:val="000000"/>
                <w:sz w:val="16"/>
              </w:rPr>
            </w:pPr>
            <w:r>
              <w:rPr>
                <w:rFonts w:cs="Arial" w:ascii="Arial" w:hAnsi="Arial"/>
                <w:b/>
                <w:color w:val="000000"/>
                <w:sz w:val="16"/>
              </w:rPr>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99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207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r>
        <w:trPr>
          <w:trHeight w:val="98"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1</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D&amp;O Liability</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INR 374,000,000</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1,680,000 </w:t>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4050" w:type="dxa"/>
            <w:gridSpan w:val="3"/>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Feb 11,2000 to Feb 10,2001</w:t>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r>
        <w:trPr>
          <w:trHeight w:val="98"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2</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Non-Owned Aircraft Liability</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100,000,000 </w:t>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1,678,215 </w:t>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4050" w:type="dxa"/>
            <w:gridSpan w:val="3"/>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Nov 6,1999 to Nov 5,2000</w:t>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r>
        <w:trPr>
          <w:trHeight w:val="98"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3</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Primary General Liability</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1,000 </w:t>
            </w:r>
          </w:p>
        </w:tc>
        <w:tc>
          <w:tcPr>
            <w:tcW w:w="4050" w:type="dxa"/>
            <w:gridSpan w:val="3"/>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July 14,2000 to July 13,2001</w:t>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r>
        <w:trPr>
          <w:trHeight w:val="98"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4</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Hired &amp; Non-owned Auto Liability</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88 </w:t>
            </w:r>
          </w:p>
        </w:tc>
        <w:tc>
          <w:tcPr>
            <w:tcW w:w="4050" w:type="dxa"/>
            <w:gridSpan w:val="3"/>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July 14,2000 to July 13,2001</w:t>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r>
        <w:trPr>
          <w:trHeight w:val="98" w:hRule="atLeast"/>
        </w:trPr>
        <w:tc>
          <w:tcPr>
            <w:tcW w:w="454"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5</w:t>
            </w:r>
          </w:p>
        </w:tc>
        <w:tc>
          <w:tcPr>
            <w:tcW w:w="2712" w:type="dxa"/>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Excess Liability</w:t>
            </w:r>
          </w:p>
        </w:tc>
        <w:tc>
          <w:tcPr>
            <w:tcW w:w="1094"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720" w:type="dxa"/>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1080" w:type="dxa"/>
            <w:tcBorders>
              <w:top w:val="single" w:sz="2" w:space="0" w:color="000000"/>
              <w:start w:val="single" w:sz="6" w:space="0" w:color="000000"/>
              <w:bottom w:val="single" w:sz="2" w:space="0" w:color="000000"/>
              <w:end w:val="single" w:sz="6" w:space="0" w:color="000000"/>
            </w:tcBorders>
            <w:shd w:fill="FFFFFF" w:val="clear"/>
          </w:tcPr>
          <w:p>
            <w:pPr>
              <w:pStyle w:val="Normal"/>
              <w:jc w:val="end"/>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6,750 </w:t>
            </w:r>
          </w:p>
        </w:tc>
        <w:tc>
          <w:tcPr>
            <w:tcW w:w="4050" w:type="dxa"/>
            <w:gridSpan w:val="3"/>
            <w:tcBorders>
              <w:top w:val="single" w:sz="2" w:space="0" w:color="000000"/>
              <w:start w:val="single" w:sz="6" w:space="0" w:color="000000"/>
              <w:bottom w:val="single" w:sz="2"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July 14,2000 to July 13,2001</w:t>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0" w:type="dxa"/>
            <w:vMerge w:val="continue"/>
            <w:tcBorders>
              <w:top w:val="single" w:sz="2" w:space="0" w:color="000000"/>
              <w:start w:val="single" w:sz="6" w:space="0" w:color="000000"/>
              <w:bottom w:val="single" w:sz="2"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r>
        <w:trPr>
          <w:trHeight w:val="98" w:hRule="atLeast"/>
        </w:trPr>
        <w:tc>
          <w:tcPr>
            <w:tcW w:w="454" w:type="dxa"/>
            <w:tcBorders>
              <w:top w:val="single" w:sz="2" w:space="0" w:color="000000"/>
              <w:start w:val="single" w:sz="6" w:space="0" w:color="000000"/>
              <w:bottom w:val="single" w:sz="6" w:space="0" w:color="000000"/>
              <w:end w:val="single" w:sz="6" w:space="0" w:color="000000"/>
            </w:tcBorders>
            <w:shd w:fill="FFFFFF" w:val="clear"/>
          </w:tcPr>
          <w:p>
            <w:pPr>
              <w:pStyle w:val="Normal"/>
              <w:jc w:val="end"/>
              <w:rPr>
                <w:rFonts w:ascii="Arial" w:hAnsi="Arial" w:cs="Arial"/>
                <w:color w:val="000000"/>
                <w:sz w:val="16"/>
              </w:rPr>
            </w:pPr>
            <w:r>
              <w:rPr>
                <w:rFonts w:cs="Arial" w:ascii="Arial" w:hAnsi="Arial"/>
                <w:color w:val="000000"/>
                <w:sz w:val="16"/>
              </w:rPr>
              <w:t>6</w:t>
            </w:r>
          </w:p>
        </w:tc>
        <w:tc>
          <w:tcPr>
            <w:tcW w:w="2712" w:type="dxa"/>
            <w:tcBorders>
              <w:top w:val="single" w:sz="2"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Umbrella Liability</w:t>
            </w:r>
          </w:p>
        </w:tc>
        <w:tc>
          <w:tcPr>
            <w:tcW w:w="1094" w:type="dxa"/>
            <w:tcBorders>
              <w:top w:val="single" w:sz="2" w:space="0" w:color="000000"/>
              <w:start w:val="single" w:sz="6" w:space="0" w:color="000000"/>
              <w:bottom w:val="single" w:sz="6"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720" w:type="dxa"/>
            <w:tcBorders>
              <w:top w:val="single" w:sz="2" w:space="0" w:color="000000"/>
              <w:start w:val="single" w:sz="6" w:space="0" w:color="000000"/>
              <w:bottom w:val="single" w:sz="6"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1080" w:type="dxa"/>
            <w:tcBorders>
              <w:top w:val="single" w:sz="2"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b </w:t>
            </w:r>
          </w:p>
        </w:tc>
        <w:tc>
          <w:tcPr>
            <w:tcW w:w="4050" w:type="dxa"/>
            <w:gridSpan w:val="3"/>
            <w:tcBorders>
              <w:top w:val="single" w:sz="2"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6"/>
              </w:rPr>
            </w:pPr>
            <w:r>
              <w:rPr>
                <w:rFonts w:cs="Arial" w:ascii="Arial" w:hAnsi="Arial"/>
                <w:color w:val="000000"/>
                <w:sz w:val="16"/>
              </w:rPr>
              <w:t>July 14,2000 to July 13,2001</w:t>
            </w:r>
          </w:p>
        </w:tc>
        <w:tc>
          <w:tcPr>
            <w:tcW w:w="0" w:type="dxa"/>
            <w:vMerge w:val="continue"/>
            <w:tcBorders>
              <w:top w:val="single" w:sz="2" w:space="0" w:color="000000"/>
              <w:start w:val="single" w:sz="6" w:space="0" w:color="000000"/>
              <w:bottom w:val="single" w:sz="6"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c>
          <w:tcPr>
            <w:tcW w:w="0" w:type="dxa"/>
            <w:vMerge w:val="continue"/>
            <w:tcBorders>
              <w:top w:val="single" w:sz="2" w:space="0" w:color="000000"/>
              <w:start w:val="single" w:sz="6" w:space="0" w:color="000000"/>
              <w:bottom w:val="single" w:sz="6" w:space="0" w:color="000000"/>
              <w:end w:val="single" w:sz="6" w:space="0" w:color="000000"/>
            </w:tcBorders>
            <w:shd w:fill="FFFFFF" w:val="clear"/>
          </w:tcPr>
          <w:p>
            <w:pPr>
              <w:pStyle w:val="Normal"/>
              <w:snapToGrid w:val="false"/>
              <w:jc w:val="end"/>
              <w:rPr>
                <w:rFonts w:ascii="Arial" w:hAnsi="Arial" w:cs="Arial"/>
                <w:color w:val="000000"/>
                <w:sz w:val="16"/>
              </w:rPr>
            </w:pPr>
            <w:r>
              <w:rPr>
                <w:rFonts w:cs="Arial" w:ascii="Arial" w:hAnsi="Arial"/>
                <w:color w:val="000000"/>
                <w:sz w:val="16"/>
              </w:rPr>
            </w:r>
          </w:p>
        </w:tc>
      </w:tr>
    </w:tbl>
    <w:p>
      <w:pPr>
        <w:pStyle w:val="Normal"/>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bl>
      <w:tblPr>
        <w:tblW w:w="9360" w:type="dxa"/>
        <w:jc w:val="center"/>
        <w:tblInd w:w="0" w:type="dxa"/>
        <w:tblLayout w:type="fixed"/>
        <w:tblCellMar>
          <w:top w:w="0" w:type="dxa"/>
          <w:start w:w="120" w:type="dxa"/>
          <w:bottom w:w="0" w:type="dxa"/>
          <w:end w:w="120" w:type="dxa"/>
        </w:tblCellMar>
      </w:tblPr>
      <w:tblGrid>
        <w:gridCol w:w="1560"/>
        <w:gridCol w:w="1560"/>
        <w:gridCol w:w="1560"/>
        <w:gridCol w:w="1560"/>
        <w:gridCol w:w="1560"/>
        <w:gridCol w:w="1560"/>
      </w:tblGrid>
      <w:tr>
        <w:trPr/>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rPr>
            </w:pPr>
            <w:r>
              <w:rPr>
                <w:b/>
                <w:u w:val="single"/>
              </w:rPr>
              <w:t>Underwriter</w:t>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widowControl/>
              <w:tabs>
                <w:tab w:val="center" w:pos="6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rPr>
            </w:pPr>
            <w:r>
              <w:rPr>
                <w:b/>
              </w:rPr>
              <w:tab/>
            </w:r>
            <w:r>
              <w:rPr>
                <w:b/>
                <w:u w:val="single"/>
              </w:rPr>
              <w:t>Risks</w:t>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widowControl/>
              <w:tabs>
                <w:tab w:val="center" w:pos="6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rPr>
            </w:pPr>
            <w:r>
              <w:rPr>
                <w:b/>
              </w:rPr>
              <w:tab/>
            </w:r>
            <w:r>
              <w:rPr>
                <w:b/>
                <w:u w:val="single"/>
              </w:rPr>
              <w:t>Coverage</w:t>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rPr>
            </w:pPr>
            <w:r>
              <w:rPr>
                <w:b/>
              </w:rPr>
            </w:r>
          </w:p>
          <w:p>
            <w:pPr>
              <w:pStyle w:val="Normal"/>
              <w:widowControl/>
              <w:tabs>
                <w:tab w:val="center" w:pos="6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rPr>
            </w:pPr>
            <w:r>
              <w:rPr>
                <w:b/>
              </w:rPr>
              <w:tab/>
              <w:t xml:space="preserve">Limits and </w:t>
            </w:r>
            <w:r>
              <w:rPr>
                <w:b/>
                <w:u w:val="single"/>
              </w:rPr>
              <w:t>Deductibles</w:t>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rPr>
            </w:pPr>
            <w:r>
              <w:rPr>
                <w:b/>
              </w:rPr>
            </w:r>
          </w:p>
          <w:p>
            <w:pPr>
              <w:pStyle w:val="Normal"/>
              <w:widowControl/>
              <w:tabs>
                <w:tab w:val="center" w:pos="6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rPr>
            </w:pPr>
            <w:r>
              <w:rPr>
                <w:b/>
              </w:rPr>
              <w:tab/>
              <w:t xml:space="preserve">Expiration </w:t>
            </w:r>
            <w:r>
              <w:rPr>
                <w:b/>
                <w:u w:val="single"/>
              </w:rPr>
              <w:t>Dates</w:t>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rPr>
            </w:pPr>
            <w:r>
              <w:rPr>
                <w:b/>
              </w:rPr>
            </w:r>
          </w:p>
          <w:p>
            <w:pPr>
              <w:pStyle w:val="Normal"/>
              <w:widowControl/>
              <w:tabs>
                <w:tab w:val="center" w:pos="6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rPr>
            </w:pPr>
            <w:r>
              <w:rPr>
                <w:b/>
              </w:rPr>
              <w:tab/>
              <w:t xml:space="preserve">Significant </w:t>
            </w:r>
            <w:r>
              <w:rPr>
                <w:b/>
                <w:u w:val="single"/>
              </w:rPr>
              <w:t>Riders</w:t>
            </w:r>
          </w:p>
        </w:tc>
      </w:tr>
      <w:tr>
        <w:trPr/>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rPr>
            </w:pPr>
            <w:r>
              <w:rPr>
                <w:b/>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bl>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40"/>
          <w:headerReference w:type="first" r:id="rId41"/>
          <w:footerReference w:type="default" r:id="rId42"/>
          <w:footerReference w:type="first" r:id="rId43"/>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SCHEDULE 5.08(b)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INSURANCE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Schedule sets forth a list, including the name of the underwriter, the risks insured, coverage and related limits and deductibles, expiration dates and significant riders, of the principal insurance policies currently maintained by the Parent Company Group for the benefit of one or more of the Subject Companies and their Subsidiaries and Operating Companies, the coverage under which is to be continued after the Closing with respect to the Subject Companies and their Subsidiaries and Operating Companies pursuant to the Transition Agreement.  </w:t>
      </w:r>
      <w:r>
        <w:rPr>
          <w:b/>
        </w:rPr>
        <w:t>[It is contemplated that Enron will assist EI in arranging its own insurance prior to Closing, and this Schedule will state “None.”]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bl>
      <w:tblPr>
        <w:tblW w:w="9360" w:type="dxa"/>
        <w:jc w:val="center"/>
        <w:tblInd w:w="0" w:type="dxa"/>
        <w:tblLayout w:type="fixed"/>
        <w:tblCellMar>
          <w:top w:w="0" w:type="dxa"/>
          <w:start w:w="120" w:type="dxa"/>
          <w:bottom w:w="0" w:type="dxa"/>
          <w:end w:w="120" w:type="dxa"/>
        </w:tblCellMar>
      </w:tblPr>
      <w:tblGrid>
        <w:gridCol w:w="1560"/>
        <w:gridCol w:w="1560"/>
        <w:gridCol w:w="1560"/>
        <w:gridCol w:w="1560"/>
        <w:gridCol w:w="1560"/>
        <w:gridCol w:w="1560"/>
      </w:tblGrid>
      <w:tr>
        <w:trPr/>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rPr>
            </w:pPr>
            <w:r>
              <w:rPr>
                <w:b/>
                <w:u w:val="single"/>
              </w:rPr>
              <w:t>Underwriter</w:t>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widowControl/>
              <w:tabs>
                <w:tab w:val="center" w:pos="6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rPr>
            </w:pPr>
            <w:r>
              <w:rPr>
                <w:b/>
              </w:rPr>
              <w:tab/>
            </w:r>
            <w:r>
              <w:rPr>
                <w:b/>
                <w:u w:val="single"/>
              </w:rPr>
              <w:t>Risks</w:t>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widowControl/>
              <w:tabs>
                <w:tab w:val="center" w:pos="6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rPr>
            </w:pPr>
            <w:r>
              <w:rPr>
                <w:b/>
              </w:rPr>
              <w:tab/>
            </w:r>
            <w:r>
              <w:rPr>
                <w:b/>
                <w:u w:val="single"/>
              </w:rPr>
              <w:t>Coverage</w:t>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rPr>
            </w:pPr>
            <w:r>
              <w:rPr>
                <w:b/>
              </w:rPr>
            </w:r>
          </w:p>
          <w:p>
            <w:pPr>
              <w:pStyle w:val="Normal"/>
              <w:widowControl/>
              <w:tabs>
                <w:tab w:val="center" w:pos="6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rPr>
            </w:pPr>
            <w:r>
              <w:rPr>
                <w:b/>
              </w:rPr>
              <w:tab/>
              <w:t xml:space="preserve">Limits and </w:t>
            </w:r>
            <w:r>
              <w:rPr>
                <w:b/>
                <w:u w:val="single"/>
              </w:rPr>
              <w:t>Deductibles</w:t>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rPr>
            </w:pPr>
            <w:r>
              <w:rPr>
                <w:b/>
              </w:rPr>
            </w:r>
          </w:p>
          <w:p>
            <w:pPr>
              <w:pStyle w:val="Normal"/>
              <w:widowControl/>
              <w:tabs>
                <w:tab w:val="center" w:pos="6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rPr>
            </w:pPr>
            <w:r>
              <w:rPr>
                <w:b/>
              </w:rPr>
              <w:tab/>
              <w:t xml:space="preserve">Expiration </w:t>
            </w:r>
            <w:r>
              <w:rPr>
                <w:b/>
                <w:u w:val="single"/>
              </w:rPr>
              <w:t>Dates</w:t>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rPr>
            </w:pPr>
            <w:r>
              <w:rPr>
                <w:b/>
              </w:rPr>
            </w:r>
          </w:p>
          <w:p>
            <w:pPr>
              <w:pStyle w:val="Normal"/>
              <w:widowControl/>
              <w:tabs>
                <w:tab w:val="center" w:pos="6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rPr>
            </w:pPr>
            <w:r>
              <w:rPr>
                <w:b/>
              </w:rPr>
              <w:tab/>
              <w:t xml:space="preserve">Significant </w:t>
            </w:r>
            <w:r>
              <w:rPr>
                <w:b/>
                <w:u w:val="single"/>
              </w:rPr>
              <w:t>Riders</w:t>
            </w:r>
          </w:p>
        </w:tc>
      </w:tr>
      <w:tr>
        <w:trPr/>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rPr>
            </w:pPr>
            <w:r>
              <w:rPr>
                <w:b/>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r>
        <w:trPr/>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r>
    </w:tbl>
    <w:p>
      <w:pPr>
        <w:sectPr>
          <w:headerReference w:type="default" r:id="rId44"/>
          <w:headerReference w:type="first" r:id="rId45"/>
          <w:footerReference w:type="default" r:id="rId46"/>
          <w:footerReference w:type="first" r:id="rId47"/>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SCHEDULE 5.09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TAXES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[to be provided]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48"/>
          <w:headerReference w:type="first" r:id="rId49"/>
          <w:footerReference w:type="default" r:id="rId50"/>
          <w:footerReference w:type="first" r:id="rId51"/>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SCHEDULE 5.10(a)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PRINCIPAL CONTRACTS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(OTHER THAN RELATED PARTY CONTRACT AND SURETYSHIP ARRANGEMENTS)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I.</w:t>
        <w:tab/>
        <w:t xml:space="preserve">The following is a list of all Principal Contracts, other than Related Party Contracts and Suretyship Arrangements: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II.</w:t>
        <w:tab/>
        <w:t>The balance of this Schedule sets forth a list of each Principal Contract, other than any Related Party Contract or Suretyship Arrangement, with respect to which a party may be in default in the performance of the Principal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[to be provided after monetary amount in definition is confirmed – depending on the monetary amount, the DPC list could be substantial]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52"/>
          <w:headerReference w:type="first" r:id="rId53"/>
          <w:footerReference w:type="default" r:id="rId54"/>
          <w:footerReference w:type="first" r:id="rId55"/>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w:t>
      </w:r>
      <w:r>
        <w:rPr>
          <w:u w:val="single"/>
        </w:rPr>
        <w:t>DPC</w:t>
      </w:r>
      <w:r>
        <w:rPr/>
        <w:t xml:space="preserve">  - Under the Power Purchase Agreement, MSEB is required to make monthly payments of both Capacity and Energy Payments within [25] days of the issue by DPC of the corresponding invoice.  Since entry into commercial service of Phase I in May 1999 to date (17 July 2000) MSEB has made payment in full broadly in accordance with the terms of the PPA, although MSEB has experienced some cash flow difficulties and  there has been some delay in its receipt of payments. </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SCHEDULE 5.10(b)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SURETYSHIP ARRANGEMENTS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Schedule sets forth a list of all Significant Suretyship Arrangements and identifies the surety in such arrangement, whether that be the Parent or a Retained Subsidiary: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Heading2"/>
        <w:ind w:hanging="0" w:start="0"/>
        <w:rPr/>
      </w:pPr>
      <w:r>
        <w:rPr/>
        <w:t>Metgas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Level1"/>
        <w:numPr>
          <w:ilvl w:val="0"/>
          <w:numId w:val="36"/>
        </w:numPr>
        <w:ind w:hanging="0" w:start="0"/>
        <w:rPr>
          <w:rFonts w:ascii="Times New Roman" w:hAnsi="Times New Roman" w:cs="Times New Roman"/>
          <w:sz w:val="24"/>
        </w:rPr>
      </w:pPr>
      <w:r>
        <w:rPr>
          <w:rFonts w:cs="Times New Roman" w:ascii="Times New Roman" w:hAnsi="Times New Roman"/>
          <w:sz w:val="24"/>
        </w:rPr>
        <w:t>Terminal and Regasification Agreement dated 6 May 1999</w:t>
      </w:r>
    </w:p>
    <w:p>
      <w:pPr>
        <w:pStyle w:val="Body1"/>
        <w:rPr>
          <w:rFonts w:ascii="Times New Roman" w:hAnsi="Times New Roman" w:cs="Times New Roman"/>
          <w:sz w:val="24"/>
        </w:rPr>
      </w:pPr>
      <w:r>
        <w:rPr>
          <w:rFonts w:cs="Times New Roman" w:ascii="Times New Roman" w:hAnsi="Times New Roman"/>
          <w:b/>
          <w:sz w:val="24"/>
        </w:rPr>
        <w:t>Parties:</w:t>
        <w:tab/>
        <w:t>Metgas and DPC</w:t>
      </w:r>
    </w:p>
    <w:p>
      <w:pPr>
        <w:pStyle w:val="Body1"/>
        <w:rPr>
          <w:rFonts w:ascii="Times New Roman" w:hAnsi="Times New Roman" w:cs="Times New Roman"/>
          <w:sz w:val="24"/>
        </w:rPr>
      </w:pPr>
      <w:r>
        <w:rPr>
          <w:rFonts w:cs="Times New Roman" w:ascii="Times New Roman" w:hAnsi="Times New Roman"/>
          <w:sz w:val="24"/>
        </w:rPr>
        <w:t>Clause 3.6.1(xi) states that Metgas gives an undertaking that it will obtain from each Marketing Affiliate and other Metgas Designee a waiver of claims against DPC by such Metgas Designee or an undertaking from such Metgas Designee that it will not sue DPC. “Marketing Affiliate” is defined as any Metgas Designee which is controlled by Enron “Control” means the ownership, directly or indirectly, of 26% or more of the voting securities of such person. Part of this provision, therefore, will become redundant if Enron does not own more than 26%of the marketing affiliate.</w:t>
      </w:r>
    </w:p>
    <w:p>
      <w:pPr>
        <w:pStyle w:val="Level2"/>
        <w:numPr>
          <w:ilvl w:val="1"/>
          <w:numId w:val="26"/>
        </w:numPr>
        <w:ind w:hanging="0" w:start="0"/>
        <w:rPr>
          <w:rFonts w:ascii="Times New Roman" w:hAnsi="Times New Roman" w:cs="Times New Roman"/>
          <w:b/>
          <w:sz w:val="24"/>
        </w:rPr>
      </w:pPr>
      <w:r>
        <w:rPr>
          <w:rFonts w:cs="Times New Roman" w:ascii="Times New Roman" w:hAnsi="Times New Roman"/>
          <w:b/>
          <w:sz w:val="24"/>
        </w:rPr>
        <w:t>Indemnity Guarantee</w:t>
      </w:r>
    </w:p>
    <w:p>
      <w:pPr>
        <w:pStyle w:val="Body2"/>
        <w:rPr>
          <w:rFonts w:ascii="Times New Roman" w:hAnsi="Times New Roman" w:cs="Times New Roman"/>
          <w:b/>
          <w:sz w:val="24"/>
        </w:rPr>
      </w:pPr>
      <w:r>
        <w:rPr>
          <w:rFonts w:cs="Times New Roman" w:ascii="Times New Roman" w:hAnsi="Times New Roman"/>
          <w:b/>
          <w:sz w:val="24"/>
        </w:rPr>
        <w:t>Parties: DPC and Enron</w:t>
      </w:r>
    </w:p>
    <w:p>
      <w:pPr>
        <w:pStyle w:val="Level3"/>
        <w:numPr>
          <w:ilvl w:val="0"/>
          <w:numId w:val="0"/>
        </w:numPr>
        <w:ind w:hanging="0" w:start="1247" w:end="0"/>
        <w:rPr>
          <w:rFonts w:ascii="Times New Roman" w:hAnsi="Times New Roman" w:cs="Times New Roman"/>
          <w:b/>
          <w:sz w:val="24"/>
        </w:rPr>
      </w:pPr>
      <w:r>
        <w:rPr>
          <w:rFonts w:cs="Times New Roman" w:ascii="Times New Roman" w:hAnsi="Times New Roman"/>
          <w:b/>
          <w:sz w:val="24"/>
        </w:rPr>
        <w:t>Guaranteed Obligations</w:t>
      </w:r>
    </w:p>
    <w:p>
      <w:pPr>
        <w:pStyle w:val="Body3"/>
        <w:rPr>
          <w:rFonts w:ascii="Times New Roman" w:hAnsi="Times New Roman" w:cs="Times New Roman"/>
          <w:sz w:val="24"/>
        </w:rPr>
      </w:pPr>
      <w:r>
        <w:rPr>
          <w:rFonts w:cs="Times New Roman" w:ascii="Times New Roman" w:hAnsi="Times New Roman"/>
          <w:sz w:val="24"/>
        </w:rPr>
        <w:t>Under the Indemnity Guarantee, Enron shall provide a guarantee in favour of DPC in respect of Metgas’ payment obligations under certain provisions of the TARA, including:</w:t>
      </w:r>
    </w:p>
    <w:p>
      <w:pPr>
        <w:pStyle w:val="roman4"/>
        <w:numPr>
          <w:ilvl w:val="0"/>
          <w:numId w:val="23"/>
        </w:numPr>
        <w:ind w:hanging="0" w:start="0"/>
        <w:rPr>
          <w:rFonts w:ascii="Times New Roman" w:hAnsi="Times New Roman" w:cs="Times New Roman"/>
          <w:sz w:val="24"/>
        </w:rPr>
      </w:pPr>
      <w:r>
        <w:rPr>
          <w:rFonts w:cs="Times New Roman" w:ascii="Times New Roman" w:hAnsi="Times New Roman"/>
          <w:sz w:val="24"/>
        </w:rPr>
        <w:t>Clause 3.7: Indemnity against losses arising due to failure to replace borrowed capacity;</w:t>
      </w:r>
    </w:p>
    <w:p>
      <w:pPr>
        <w:pStyle w:val="roman4"/>
        <w:numPr>
          <w:ilvl w:val="0"/>
          <w:numId w:val="23"/>
        </w:numPr>
        <w:ind w:hanging="0" w:start="0"/>
        <w:rPr>
          <w:rFonts w:ascii="Times New Roman" w:hAnsi="Times New Roman" w:cs="Times New Roman"/>
          <w:sz w:val="24"/>
        </w:rPr>
      </w:pPr>
      <w:r>
        <w:rPr>
          <w:rFonts w:cs="Times New Roman" w:ascii="Times New Roman" w:hAnsi="Times New Roman"/>
          <w:sz w:val="24"/>
        </w:rPr>
        <w:t>Clause 3.8: Indemnity against losses arising due to failure to replace borrowed LNG;</w:t>
      </w:r>
    </w:p>
    <w:p>
      <w:pPr>
        <w:pStyle w:val="roman4"/>
        <w:numPr>
          <w:ilvl w:val="0"/>
          <w:numId w:val="23"/>
        </w:numPr>
        <w:ind w:hanging="0" w:start="0"/>
        <w:rPr>
          <w:rFonts w:ascii="Times New Roman" w:hAnsi="Times New Roman" w:cs="Times New Roman"/>
          <w:sz w:val="24"/>
        </w:rPr>
      </w:pPr>
      <w:r>
        <w:rPr>
          <w:rFonts w:cs="Times New Roman" w:ascii="Times New Roman" w:hAnsi="Times New Roman"/>
          <w:sz w:val="24"/>
        </w:rPr>
        <w:t>Clause 9.1.1: Metgas Tax Indemnity;</w:t>
      </w:r>
    </w:p>
    <w:p>
      <w:pPr>
        <w:pStyle w:val="roman4"/>
        <w:numPr>
          <w:ilvl w:val="0"/>
          <w:numId w:val="23"/>
        </w:numPr>
        <w:ind w:hanging="0" w:start="0"/>
        <w:rPr>
          <w:rFonts w:ascii="Times New Roman" w:hAnsi="Times New Roman" w:cs="Times New Roman"/>
          <w:sz w:val="24"/>
        </w:rPr>
      </w:pPr>
      <w:r>
        <w:rPr>
          <w:rFonts w:cs="Times New Roman" w:ascii="Times New Roman" w:hAnsi="Times New Roman"/>
          <w:sz w:val="24"/>
        </w:rPr>
        <w:t>Clause 11.3.1: Reimbursement of losses due to failure of LNG to comply to Specifications (subject to US$30  million cap);</w:t>
      </w:r>
    </w:p>
    <w:p>
      <w:pPr>
        <w:pStyle w:val="roman4"/>
        <w:numPr>
          <w:ilvl w:val="0"/>
          <w:numId w:val="23"/>
        </w:numPr>
        <w:ind w:hanging="0" w:start="0"/>
        <w:rPr>
          <w:rFonts w:ascii="Times New Roman" w:hAnsi="Times New Roman" w:cs="Times New Roman"/>
          <w:sz w:val="24"/>
        </w:rPr>
      </w:pPr>
      <w:r>
        <w:rPr>
          <w:rFonts w:cs="Times New Roman" w:ascii="Times New Roman" w:hAnsi="Times New Roman"/>
          <w:sz w:val="24"/>
        </w:rPr>
        <w:t>Clause 17.1: General indemnity from Metgas; and</w:t>
      </w:r>
    </w:p>
    <w:p>
      <w:pPr>
        <w:pStyle w:val="roman4"/>
        <w:numPr>
          <w:ilvl w:val="0"/>
          <w:numId w:val="23"/>
        </w:numPr>
        <w:ind w:hanging="0" w:start="0"/>
        <w:rPr>
          <w:rFonts w:ascii="Times New Roman" w:hAnsi="Times New Roman" w:cs="Times New Roman"/>
          <w:sz w:val="24"/>
        </w:rPr>
      </w:pPr>
      <w:r>
        <w:rPr>
          <w:rFonts w:cs="Times New Roman" w:ascii="Times New Roman" w:hAnsi="Times New Roman"/>
          <w:sz w:val="24"/>
        </w:rPr>
        <w:t>Schedule 15, para 8: Indemnity in relation to Additional Facilities.</w:t>
      </w:r>
    </w:p>
    <w:p>
      <w:pPr>
        <w:pStyle w:val="Level3"/>
        <w:keepNext w:val="true"/>
        <w:numPr>
          <w:ilvl w:val="0"/>
          <w:numId w:val="0"/>
        </w:numPr>
        <w:ind w:hanging="0" w:start="1253" w:end="0"/>
        <w:rPr>
          <w:rFonts w:ascii="Times New Roman" w:hAnsi="Times New Roman" w:cs="Times New Roman"/>
          <w:b/>
          <w:sz w:val="24"/>
        </w:rPr>
      </w:pPr>
      <w:r>
        <w:rPr>
          <w:rFonts w:cs="Times New Roman" w:ascii="Times New Roman" w:hAnsi="Times New Roman"/>
          <w:b/>
          <w:sz w:val="24"/>
        </w:rPr>
        <w:t>Maximum Enron Liability</w:t>
      </w:r>
    </w:p>
    <w:p>
      <w:pPr>
        <w:pStyle w:val="Body3"/>
        <w:rPr>
          <w:rFonts w:ascii="Times New Roman" w:hAnsi="Times New Roman" w:cs="Times New Roman"/>
          <w:sz w:val="24"/>
        </w:rPr>
      </w:pPr>
      <w:r>
        <w:rPr>
          <w:rFonts w:cs="Times New Roman" w:ascii="Times New Roman" w:hAnsi="Times New Roman"/>
          <w:sz w:val="24"/>
        </w:rPr>
        <w:t>The Indemnity Guarantee does not contain an overall cap on Enron’s liability and Enron is liable to pay all amounts due in relation to the guaranteed obligations even if such payments relate to, or are deemed to relate to, consequential or indirect damages.</w:t>
      </w:r>
    </w:p>
    <w:p>
      <w:pPr>
        <w:pStyle w:val="Level3"/>
        <w:numPr>
          <w:ilvl w:val="0"/>
          <w:numId w:val="0"/>
        </w:numPr>
        <w:ind w:hanging="0" w:start="1247" w:end="0"/>
        <w:rPr>
          <w:rFonts w:ascii="Times New Roman" w:hAnsi="Times New Roman" w:cs="Times New Roman"/>
          <w:b/>
          <w:sz w:val="24"/>
        </w:rPr>
      </w:pPr>
      <w:r>
        <w:rPr>
          <w:rFonts w:cs="Times New Roman" w:ascii="Times New Roman" w:hAnsi="Times New Roman"/>
          <w:b/>
          <w:sz w:val="24"/>
        </w:rPr>
        <w:t>Release</w:t>
      </w:r>
    </w:p>
    <w:p>
      <w:pPr>
        <w:pStyle w:val="Body3"/>
        <w:rPr>
          <w:rFonts w:ascii="Times New Roman" w:hAnsi="Times New Roman" w:cs="Times New Roman"/>
          <w:sz w:val="24"/>
        </w:rPr>
      </w:pPr>
      <w:r>
        <w:rPr>
          <w:rFonts w:cs="Times New Roman" w:ascii="Times New Roman" w:hAnsi="Times New Roman"/>
          <w:sz w:val="24"/>
        </w:rPr>
        <w:t>The Indemnity Guarantee shall terminate on the earlier of (i) the third anniversary of the date of termination or expiry of the TARA and (ii) the later of (a) the twelfth anniversary of Financial Close of DPC and (b) the original maturity date or earlier full repayment date of the Phase 2 senior debt, provided that:</w:t>
      </w:r>
    </w:p>
    <w:p>
      <w:pPr>
        <w:pStyle w:val="roman4"/>
        <w:numPr>
          <w:ilvl w:val="0"/>
          <w:numId w:val="37"/>
        </w:numPr>
        <w:ind w:hanging="0" w:start="0"/>
        <w:rPr>
          <w:rFonts w:ascii="Times New Roman" w:hAnsi="Times New Roman" w:cs="Times New Roman"/>
          <w:sz w:val="24"/>
        </w:rPr>
      </w:pPr>
      <w:r>
        <w:rPr>
          <w:rFonts w:cs="Times New Roman" w:ascii="Times New Roman" w:hAnsi="Times New Roman"/>
          <w:sz w:val="24"/>
        </w:rPr>
        <w:t>Metgas has a net worth of US$400 million;</w:t>
      </w:r>
    </w:p>
    <w:p>
      <w:pPr>
        <w:pStyle w:val="roman4"/>
        <w:numPr>
          <w:ilvl w:val="0"/>
          <w:numId w:val="23"/>
        </w:numPr>
        <w:ind w:hanging="0" w:start="0"/>
        <w:rPr>
          <w:rFonts w:ascii="Times New Roman" w:hAnsi="Times New Roman" w:cs="Times New Roman"/>
          <w:sz w:val="24"/>
        </w:rPr>
      </w:pPr>
      <w:r>
        <w:rPr>
          <w:rFonts w:cs="Times New Roman" w:ascii="Times New Roman" w:hAnsi="Times New Roman"/>
          <w:sz w:val="24"/>
        </w:rPr>
        <w:t>Metgas has an Investment Grade Rating (BBB-); and</w:t>
      </w:r>
    </w:p>
    <w:p>
      <w:pPr>
        <w:pStyle w:val="roman4"/>
        <w:numPr>
          <w:ilvl w:val="0"/>
          <w:numId w:val="23"/>
        </w:numPr>
        <w:ind w:hanging="0" w:start="0"/>
        <w:rPr>
          <w:rFonts w:ascii="Times New Roman" w:hAnsi="Times New Roman" w:cs="Times New Roman"/>
          <w:sz w:val="24"/>
        </w:rPr>
      </w:pPr>
      <w:r>
        <w:rPr>
          <w:rFonts w:cs="Times New Roman" w:ascii="Times New Roman" w:hAnsi="Times New Roman"/>
          <w:sz w:val="24"/>
        </w:rPr>
        <w:t>Metgas has in effect the insurance required by the TARA.</w:t>
      </w:r>
    </w:p>
    <w:p>
      <w:pPr>
        <w:pStyle w:val="Level3"/>
        <w:numPr>
          <w:ilvl w:val="0"/>
          <w:numId w:val="0"/>
        </w:numPr>
        <w:ind w:hanging="0" w:start="1247" w:end="0"/>
        <w:rPr>
          <w:rFonts w:ascii="Times New Roman" w:hAnsi="Times New Roman" w:cs="Times New Roman"/>
          <w:b/>
          <w:sz w:val="24"/>
        </w:rPr>
      </w:pPr>
      <w:r>
        <w:rPr>
          <w:rFonts w:cs="Times New Roman" w:ascii="Times New Roman" w:hAnsi="Times New Roman"/>
          <w:b/>
          <w:sz w:val="24"/>
        </w:rPr>
        <w:t>Substitution of Guarantor</w:t>
      </w:r>
    </w:p>
    <w:p>
      <w:pPr>
        <w:pStyle w:val="Body3"/>
        <w:rPr>
          <w:rFonts w:ascii="Times New Roman" w:hAnsi="Times New Roman" w:cs="Times New Roman"/>
          <w:sz w:val="24"/>
        </w:rPr>
      </w:pPr>
      <w:r>
        <w:rPr>
          <w:rFonts w:cs="Times New Roman" w:ascii="Times New Roman" w:hAnsi="Times New Roman"/>
          <w:sz w:val="24"/>
        </w:rPr>
        <w:t xml:space="preserve">Pursuant to Clause 3.6.3 of the TARA, Enron may, at any time, transfer and reduce any part of its liability under the Indemnity Guarantee to any person satisfying the credit criteria set out in the TARA, provided the substitute guarantor provides a substitute guarantee. The requisite credit criteria are that the replacement Indemnity Guarantor has a rating of “BBB” or better from S&amp;P and “Baa 2” or better from Moody’s, in respect of its long term unsubordinated unsecured debt obligations, and a net worth in an amount equal to one billion US Dollars (US $1,000,000,000) or the equivalent thereof in any other currency, or such Indemnity Guarantor shall otherwise be reasonably satisfactory to the lenders. </w:t>
      </w:r>
    </w:p>
    <w:p>
      <w:pPr>
        <w:pStyle w:val="Body2"/>
        <w:rPr>
          <w:rFonts w:ascii="Times New Roman" w:hAnsi="Times New Roman" w:cs="Times New Roman"/>
          <w:sz w:val="24"/>
        </w:rPr>
      </w:pPr>
      <w:r>
        <w:rPr>
          <w:rFonts w:cs="Times New Roman" w:ascii="Times New Roman" w:hAnsi="Times New Roman"/>
          <w:sz w:val="24"/>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4"/>
        </w:rPr>
      </w:pPr>
      <w:r>
        <w:rPr>
          <w:rFonts w:cs="Times New Roman"/>
          <w:sz w:val="24"/>
        </w:rPr>
      </w:r>
    </w:p>
    <w:p>
      <w:pPr>
        <w:pStyle w:val="Heading2"/>
        <w:ind w:hanging="0" w:start="0"/>
        <w:rPr/>
      </w:pPr>
      <w:r>
        <w:rPr/>
        <w:t>Dabhol Power Project</w:t>
      </w:r>
    </w:p>
    <w:p>
      <w:pPr>
        <w:pStyle w:val="Level1"/>
        <w:numPr>
          <w:ilvl w:val="0"/>
          <w:numId w:val="38"/>
        </w:numPr>
        <w:ind w:hanging="0" w:start="0"/>
        <w:rPr>
          <w:rFonts w:ascii="Times New Roman" w:hAnsi="Times New Roman" w:cs="Times New Roman"/>
          <w:sz w:val="24"/>
        </w:rPr>
      </w:pPr>
      <w:r>
        <w:rPr>
          <w:rFonts w:cs="Times New Roman" w:ascii="Times New Roman" w:hAnsi="Times New Roman"/>
          <w:sz w:val="24"/>
        </w:rPr>
        <w:tab/>
        <w:t>Phase II Equity Contribution and Subscription Agreement dated May 6, 1999 (the “Equity Subscription Agreement”)</w:t>
      </w:r>
    </w:p>
    <w:p>
      <w:pPr>
        <w:pStyle w:val="Body1"/>
        <w:rPr>
          <w:rFonts w:ascii="Times New Roman" w:hAnsi="Times New Roman" w:cs="Times New Roman"/>
          <w:b/>
          <w:sz w:val="24"/>
        </w:rPr>
      </w:pPr>
      <w:r>
        <w:rPr>
          <w:rFonts w:cs="Times New Roman" w:ascii="Times New Roman" w:hAnsi="Times New Roman"/>
          <w:b/>
          <w:sz w:val="24"/>
        </w:rPr>
        <w:t>Parties: EMC, CIPM, EEMC, DPC, the Offshore Collateral Agent and the Onshore Trustee</w:t>
      </w:r>
    </w:p>
    <w:p>
      <w:pPr>
        <w:pStyle w:val="Level2"/>
        <w:numPr>
          <w:ilvl w:val="1"/>
          <w:numId w:val="26"/>
        </w:numPr>
        <w:ind w:hanging="0" w:start="0"/>
        <w:rPr>
          <w:rFonts w:ascii="Times New Roman" w:hAnsi="Times New Roman" w:cs="Times New Roman"/>
          <w:sz w:val="24"/>
        </w:rPr>
      </w:pPr>
      <w:r>
        <w:rPr>
          <w:rFonts w:cs="Times New Roman" w:ascii="Times New Roman" w:hAnsi="Times New Roman"/>
          <w:sz w:val="24"/>
        </w:rPr>
        <w:t>Under the Equity Subscription Agreement and the Project Completion Agreement EMC, CIPM and EEMC have agreed to make equity contributions to DPC which in Enron’s case has been guaranteed by the Equity Contribution Guarantee.</w:t>
      </w:r>
    </w:p>
    <w:p>
      <w:pPr>
        <w:pStyle w:val="Level2"/>
        <w:numPr>
          <w:ilvl w:val="1"/>
          <w:numId w:val="26"/>
        </w:numPr>
        <w:ind w:hanging="0" w:start="0"/>
        <w:rPr>
          <w:rFonts w:ascii="Times New Roman" w:hAnsi="Times New Roman" w:cs="Times New Roman"/>
          <w:sz w:val="24"/>
        </w:rPr>
      </w:pPr>
      <w:r>
        <w:rPr>
          <w:rFonts w:cs="Times New Roman" w:ascii="Times New Roman" w:hAnsi="Times New Roman"/>
          <w:sz w:val="24"/>
        </w:rPr>
        <w:t>Section 2 of the Equity Subscription Agreement provides that on each Equity Contribution Date, each of the Equity Contributors shall contribute an amount equal to their respective percentages (which for EMC is currently 80%) multiplied by the aggregate amount of equity required on such date (however note that Available Revenues may be utilised instead if available). If an equity contribution is not made by an Equity Contributor pursuant to the Equity Subscription Agreement, the Offshore Collateral Agent shall give notice to Enron, as Guarantor. If the required equity contribution is still not forthcoming the Offshore Collateral Agent shall notify the Equity Contributor who will then be required in lieu of making any further equity contributions to immediately contribute as equity in DPC its total equity contribution minus the aggregate amount of equity contributions made previously.</w:t>
      </w:r>
    </w:p>
    <w:p>
      <w:pPr>
        <w:pStyle w:val="Level2"/>
        <w:numPr>
          <w:ilvl w:val="1"/>
          <w:numId w:val="26"/>
        </w:numPr>
        <w:ind w:hanging="0" w:start="0"/>
        <w:rPr>
          <w:rFonts w:ascii="Times New Roman" w:hAnsi="Times New Roman" w:cs="Times New Roman"/>
          <w:sz w:val="24"/>
        </w:rPr>
      </w:pPr>
      <w:r>
        <w:rPr>
          <w:rFonts w:cs="Times New Roman" w:ascii="Times New Roman" w:hAnsi="Times New Roman"/>
          <w:sz w:val="24"/>
        </w:rPr>
        <w:t>Section 4 of the Equity Subscription Agreement stipulates that no Equity Contributor shall be entitled to sell, assign or transfer any of its interests in DPC or its rights or obligations under the Equity Subscription Agreement without the prior written consent of the Secured Creditors unless the following conditions are complied with:</w:t>
      </w:r>
    </w:p>
    <w:p>
      <w:pPr>
        <w:pStyle w:val="roman3"/>
        <w:numPr>
          <w:ilvl w:val="0"/>
          <w:numId w:val="39"/>
        </w:numPr>
        <w:ind w:hanging="0" w:start="0"/>
        <w:rPr>
          <w:rFonts w:ascii="Times New Roman" w:hAnsi="Times New Roman" w:cs="Times New Roman"/>
          <w:sz w:val="24"/>
        </w:rPr>
      </w:pPr>
      <w:r>
        <w:rPr>
          <w:rFonts w:cs="Times New Roman" w:ascii="Times New Roman" w:hAnsi="Times New Roman"/>
          <w:sz w:val="24"/>
        </w:rPr>
        <w:t>this assignee executes a consent to be bound by the terms of the Equity Subscription Agreement;</w:t>
      </w:r>
    </w:p>
    <w:p>
      <w:pPr>
        <w:pStyle w:val="roman3"/>
        <w:numPr>
          <w:ilvl w:val="0"/>
          <w:numId w:val="28"/>
        </w:numPr>
        <w:ind w:hanging="0" w:start="0"/>
        <w:rPr>
          <w:rFonts w:ascii="Times New Roman" w:hAnsi="Times New Roman" w:cs="Times New Roman"/>
          <w:sz w:val="24"/>
        </w:rPr>
      </w:pPr>
      <w:r>
        <w:rPr>
          <w:rFonts w:cs="Times New Roman" w:ascii="Times New Roman" w:hAnsi="Times New Roman"/>
          <w:sz w:val="24"/>
        </w:rPr>
        <w:t>the Assignee provides a guarantee for its obligations under the Equity Agreement (essentially in the form of the Equity Subscription Guarantee given by Enron) from a direct or indirect parent company which has a long term credit rating of either A- or A3 or higher from SMP or Moody’s respectively or shall provide a letter of credit (substantially in the form of the Phase II Equity Letter of Credit issued for EEMC) from an Eligible Bank;</w:t>
      </w:r>
    </w:p>
    <w:p>
      <w:pPr>
        <w:pStyle w:val="roman3"/>
        <w:numPr>
          <w:ilvl w:val="0"/>
          <w:numId w:val="28"/>
        </w:numPr>
        <w:ind w:hanging="0" w:start="0"/>
        <w:rPr>
          <w:rFonts w:ascii="Times New Roman" w:hAnsi="Times New Roman" w:cs="Times New Roman"/>
          <w:sz w:val="24"/>
        </w:rPr>
      </w:pPr>
      <w:r>
        <w:rPr>
          <w:rFonts w:cs="Times New Roman" w:ascii="Times New Roman" w:hAnsi="Times New Roman"/>
          <w:sz w:val="24"/>
        </w:rPr>
        <w:t>the assignment should be in compliance with and shall not cause a default or an Event of Default under any of the Transaction Agreements and applicable law; and</w:t>
      </w:r>
    </w:p>
    <w:p>
      <w:pPr>
        <w:pStyle w:val="roman3"/>
        <w:numPr>
          <w:ilvl w:val="0"/>
          <w:numId w:val="28"/>
        </w:numPr>
        <w:ind w:hanging="0" w:start="0"/>
        <w:rPr>
          <w:rFonts w:ascii="Times New Roman" w:hAnsi="Times New Roman" w:cs="Times New Roman"/>
          <w:sz w:val="24"/>
        </w:rPr>
      </w:pPr>
      <w:r>
        <w:rPr>
          <w:rFonts w:cs="Times New Roman" w:ascii="Times New Roman" w:hAnsi="Times New Roman"/>
          <w:sz w:val="24"/>
        </w:rPr>
        <w:t>the assignee shall have obtained and delivered any necessary approvals.</w:t>
      </w:r>
    </w:p>
    <w:p>
      <w:pPr>
        <w:pStyle w:val="Level2"/>
        <w:numPr>
          <w:ilvl w:val="1"/>
          <w:numId w:val="26"/>
        </w:numPr>
        <w:ind w:hanging="0" w:start="0"/>
        <w:rPr>
          <w:rFonts w:ascii="Times New Roman" w:hAnsi="Times New Roman" w:cs="Times New Roman"/>
          <w:sz w:val="24"/>
        </w:rPr>
      </w:pPr>
      <w:r>
        <w:rPr>
          <w:rFonts w:cs="Times New Roman" w:ascii="Times New Roman" w:hAnsi="Times New Roman"/>
          <w:sz w:val="24"/>
        </w:rPr>
        <w:t>Section 5 of the Equity Subscription Agreement provides that each Equity Contributor agrees to preserve and maintain its existence as a company organised under the laws of Mauritius and shall not merge or consolidate with or into any entity unless such merging or consolidating Equity Contributor is the surviving person or the survivor otherwise expressly assumes such merging or consolidating Equity Contributor’s obligations under the Equity Subscription Agreement.</w:t>
      </w:r>
    </w:p>
    <w:p>
      <w:pPr>
        <w:pStyle w:val="Level1"/>
        <w:numPr>
          <w:ilvl w:val="0"/>
          <w:numId w:val="26"/>
        </w:numPr>
        <w:ind w:hanging="0" w:start="0"/>
        <w:rPr>
          <w:rFonts w:ascii="Times New Roman" w:hAnsi="Times New Roman" w:cs="Times New Roman"/>
          <w:sz w:val="24"/>
        </w:rPr>
      </w:pPr>
      <w:r>
        <w:rPr>
          <w:rFonts w:cs="Times New Roman" w:ascii="Times New Roman" w:hAnsi="Times New Roman"/>
          <w:sz w:val="24"/>
        </w:rPr>
        <w:t>Phase II Project Completion Agreement dated May 6, 1999 (the “Project Completion Agreement”)</w:t>
      </w:r>
    </w:p>
    <w:p>
      <w:pPr>
        <w:pStyle w:val="Body1"/>
        <w:rPr>
          <w:rFonts w:ascii="Times New Roman" w:hAnsi="Times New Roman" w:cs="Times New Roman"/>
          <w:b/>
          <w:sz w:val="24"/>
        </w:rPr>
      </w:pPr>
      <w:r>
        <w:rPr>
          <w:rFonts w:cs="Times New Roman" w:ascii="Times New Roman" w:hAnsi="Times New Roman"/>
          <w:b/>
          <w:sz w:val="24"/>
        </w:rPr>
        <w:t>Parties:</w:t>
        <w:tab/>
        <w:t>EMC, CIPM, EEMC, DPC, the Offshore Collateral Agent and the Onshore Trustee</w:t>
      </w:r>
    </w:p>
    <w:p>
      <w:pPr>
        <w:pStyle w:val="Level2"/>
        <w:numPr>
          <w:ilvl w:val="1"/>
          <w:numId w:val="26"/>
        </w:numPr>
        <w:ind w:hanging="0" w:start="0"/>
        <w:rPr>
          <w:rFonts w:ascii="Times New Roman" w:hAnsi="Times New Roman" w:cs="Times New Roman"/>
          <w:sz w:val="24"/>
        </w:rPr>
      </w:pPr>
      <w:r>
        <w:rPr>
          <w:rFonts w:cs="Times New Roman" w:ascii="Times New Roman" w:hAnsi="Times New Roman"/>
          <w:sz w:val="24"/>
        </w:rPr>
        <w:t>Section 2 of the Project Completion Agreement provides that on each Phase II Construction Distribution Date (i.e. the date upon which DPC requires a withdrawal to be made from the retention accounts to fund construction costs) each Shareholder is required to contribute to DPC a percentage of any Funding Insufficiency (which covers any shortfall in construction costs, outstanding payment obligations for quantities of LNG not taken by DPC but for which DPC is obliged to pay, any delay LDs under the PPA and any debt service due during the next 30 days less the amount of any sums held in the Phase II debt service accounts on such date) as of that date. However any Shareholder may in lieu of making such contribution satisfy all or any part of its obligation by (i) utilising Available Revenues or (ii) subject to the consent of each of the Secured Creditors (which may be withheld in its sole discretion) and if DPC elects, making subordinated loans to DPC or arrange for additional Senior Loans to DPC. The Shareholders shall not be required to make any completion support contributions in excess of their relevant percentage of the maximum completion support amount (US$233,352,316). The percentage applicable to EMC is currently 80%.</w:t>
      </w:r>
    </w:p>
    <w:p>
      <w:pPr>
        <w:pStyle w:val="Level2"/>
        <w:numPr>
          <w:ilvl w:val="1"/>
          <w:numId w:val="26"/>
        </w:numPr>
        <w:ind w:hanging="0" w:start="0"/>
        <w:rPr>
          <w:rFonts w:ascii="Times New Roman" w:hAnsi="Times New Roman" w:cs="Times New Roman"/>
          <w:sz w:val="24"/>
        </w:rPr>
      </w:pPr>
      <w:r>
        <w:rPr>
          <w:rFonts w:cs="Times New Roman" w:ascii="Times New Roman" w:hAnsi="Times New Roman"/>
          <w:sz w:val="24"/>
        </w:rPr>
        <w:t>If a completion support contribution is not made by a Shareholder the Offshore Collateral Agent shall give notice to, in EMC’s case, Enron as guarantor.</w:t>
      </w:r>
    </w:p>
    <w:p>
      <w:pPr>
        <w:pStyle w:val="Level2"/>
        <w:numPr>
          <w:ilvl w:val="1"/>
          <w:numId w:val="26"/>
        </w:numPr>
        <w:ind w:hanging="0" w:start="0"/>
        <w:rPr>
          <w:rFonts w:ascii="Times New Roman" w:hAnsi="Times New Roman" w:cs="Times New Roman"/>
          <w:sz w:val="24"/>
        </w:rPr>
      </w:pPr>
      <w:r>
        <w:rPr>
          <w:rFonts w:cs="Times New Roman" w:ascii="Times New Roman" w:hAnsi="Times New Roman"/>
          <w:sz w:val="24"/>
        </w:rPr>
        <w:t>In addition to the above the Offshore Collateral Agent may require each Shareholder to contribute as equity its proportion of any contingent equity obligations.</w:t>
      </w:r>
    </w:p>
    <w:p>
      <w:pPr>
        <w:pStyle w:val="Level2"/>
        <w:numPr>
          <w:ilvl w:val="1"/>
          <w:numId w:val="26"/>
        </w:numPr>
        <w:ind w:hanging="0" w:start="0"/>
        <w:rPr>
          <w:rFonts w:ascii="Times New Roman" w:hAnsi="Times New Roman" w:cs="Times New Roman"/>
          <w:sz w:val="24"/>
        </w:rPr>
      </w:pPr>
      <w:r>
        <w:rPr>
          <w:rFonts w:cs="Times New Roman" w:ascii="Times New Roman" w:hAnsi="Times New Roman"/>
          <w:sz w:val="24"/>
        </w:rPr>
        <w:t>The conditions to assignment of a Shareholder’s interests in the Company or its rights and obligations under the Project Completion Agreement are identical to the conditions specified in respect of the Equity Subscription Agreement (see 2.3 above).</w:t>
      </w:r>
    </w:p>
    <w:p>
      <w:pPr>
        <w:pStyle w:val="Level1"/>
        <w:numPr>
          <w:ilvl w:val="0"/>
          <w:numId w:val="26"/>
        </w:numPr>
        <w:ind w:hanging="0" w:start="0"/>
        <w:rPr>
          <w:rFonts w:ascii="Times New Roman" w:hAnsi="Times New Roman" w:cs="Times New Roman"/>
          <w:sz w:val="24"/>
        </w:rPr>
      </w:pPr>
      <w:r>
        <w:rPr>
          <w:rFonts w:cs="Times New Roman" w:ascii="Times New Roman" w:hAnsi="Times New Roman"/>
          <w:sz w:val="24"/>
        </w:rPr>
        <w:t>Phase II Equity Contribution Guarantee dated May 6, 1999 (the “Equity Contribution Guarantee”)</w:t>
      </w:r>
    </w:p>
    <w:p>
      <w:pPr>
        <w:pStyle w:val="Body1"/>
        <w:rPr>
          <w:rFonts w:ascii="Times New Roman" w:hAnsi="Times New Roman" w:cs="Times New Roman"/>
          <w:b/>
          <w:sz w:val="24"/>
        </w:rPr>
      </w:pPr>
      <w:r>
        <w:rPr>
          <w:rFonts w:cs="Times New Roman" w:ascii="Times New Roman" w:hAnsi="Times New Roman"/>
          <w:b/>
          <w:sz w:val="24"/>
        </w:rPr>
        <w:t>Parties: Enron and the Offshore Collateral Agent</w:t>
      </w:r>
    </w:p>
    <w:p>
      <w:pPr>
        <w:pStyle w:val="Body1"/>
        <w:rPr>
          <w:rFonts w:ascii="Times New Roman" w:hAnsi="Times New Roman" w:cs="Times New Roman"/>
          <w:sz w:val="24"/>
        </w:rPr>
      </w:pPr>
      <w:r>
        <w:rPr>
          <w:rFonts w:cs="Times New Roman" w:ascii="Times New Roman" w:hAnsi="Times New Roman"/>
          <w:sz w:val="24"/>
        </w:rPr>
        <w:t>Enron has provided a guarantee to the Offshore Collateral Agent for the benefit of the Secured Parties whereby it guarantees the prompt payment of all EMC’s contributions pursuant to the Equity Subscription Agreement and the Project Completion Agreement. The obligations of Enron under the Guarantee may only be reduced in accordance with the relevant provisions of the Equity Contribution Agreement and the Project Completion Agreement and the Common Agreement, all as described further above.</w:t>
      </w:r>
    </w:p>
    <w:p>
      <w:pPr>
        <w:pStyle w:val="Level1"/>
        <w:numPr>
          <w:ilvl w:val="0"/>
          <w:numId w:val="26"/>
        </w:numPr>
        <w:ind w:hanging="0" w:start="0"/>
        <w:rPr>
          <w:rFonts w:ascii="Times New Roman" w:hAnsi="Times New Roman" w:cs="Times New Roman"/>
          <w:sz w:val="24"/>
        </w:rPr>
      </w:pPr>
      <w:r>
        <w:rPr>
          <w:rFonts w:cs="Times New Roman" w:ascii="Times New Roman" w:hAnsi="Times New Roman"/>
          <w:sz w:val="24"/>
        </w:rPr>
        <w:t>Equity Transfer Agreement dated May 6, 1999 (the “Equity Transfer Agreement”)</w:t>
      </w:r>
    </w:p>
    <w:p>
      <w:pPr>
        <w:pStyle w:val="Body1"/>
        <w:rPr>
          <w:rFonts w:ascii="Times New Roman" w:hAnsi="Times New Roman" w:cs="Times New Roman"/>
          <w:b/>
          <w:sz w:val="24"/>
        </w:rPr>
      </w:pPr>
      <w:r>
        <w:rPr>
          <w:rFonts w:cs="Times New Roman" w:ascii="Times New Roman" w:hAnsi="Times New Roman"/>
          <w:b/>
          <w:sz w:val="24"/>
        </w:rPr>
        <w:t>Parties: EDC, GECC and Bechtel</w:t>
      </w:r>
    </w:p>
    <w:p>
      <w:pPr>
        <w:pStyle w:val="Body1"/>
        <w:rPr>
          <w:rFonts w:ascii="Times New Roman" w:hAnsi="Times New Roman" w:cs="Times New Roman"/>
          <w:sz w:val="24"/>
        </w:rPr>
      </w:pPr>
      <w:r>
        <w:rPr>
          <w:rFonts w:cs="Times New Roman" w:ascii="Times New Roman" w:hAnsi="Times New Roman"/>
          <w:sz w:val="24"/>
        </w:rPr>
        <w:t>Under the Equity Transfer Agreement EDC has the right following a Triggering Event (covering potential scenarios following the service of Preliminary Termination Notice under the PPA) to require GECC and Bechtel to sell to EDC or its designee all of its shares in CIPM and EEMC respectively. GECC and Bechtel also have the right to require EDC or its designee to purchase their respective shares in CIPM or EEMC.</w:t>
      </w:r>
    </w:p>
    <w:p>
      <w:pPr>
        <w:pStyle w:val="Body1"/>
        <w:rPr>
          <w:rFonts w:ascii="Times New Roman" w:hAnsi="Times New Roman" w:cs="Times New Roman"/>
          <w:sz w:val="24"/>
        </w:rPr>
      </w:pPr>
      <w:r>
        <w:rPr>
          <w:rFonts w:cs="Times New Roman" w:ascii="Times New Roman" w:hAnsi="Times New Roman"/>
          <w:sz w:val="24"/>
        </w:rPr>
        <w:t>Further if the Transfer Amount is paid by or on behalf of Metgas pursuant to Section 2.4.5 of the TARA it shall be deemed that Enron has exercised its call options under the Equity Transfer Agreement.</w:t>
      </w:r>
    </w:p>
    <w:p>
      <w:pPr>
        <w:pStyle w:val="Body1"/>
        <w:rPr/>
      </w:pPr>
      <w:r>
        <w:rPr>
          <w:rFonts w:cs="Times New Roman" w:ascii="Times New Roman" w:hAnsi="Times New Roman"/>
          <w:b/>
          <w:sz w:val="24"/>
        </w:rPr>
        <w:t>Note:</w:t>
      </w:r>
      <w:r>
        <w:rPr>
          <w:rFonts w:cs="Times New Roman" w:ascii="Times New Roman" w:hAnsi="Times New Roman"/>
          <w:sz w:val="24"/>
        </w:rPr>
        <w:t xml:space="preserve"> Relevant depending on whether EDC will form part of the package to be transferred to EI under the proposed transaction.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4"/>
        </w:rPr>
      </w:pPr>
      <w:r>
        <w:rPr>
          <w:rFonts w:cs="Times New Roman"/>
          <w:sz w:val="24"/>
        </w:rPr>
      </w:r>
    </w:p>
    <w:p>
      <w:pPr>
        <w:pStyle w:val="Level1"/>
        <w:numPr>
          <w:ilvl w:val="0"/>
          <w:numId w:val="26"/>
        </w:numPr>
        <w:ind w:hanging="562" w:start="562" w:end="0"/>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OPIC Indemnity Agreement dated March 26, 1999</w:t>
      </w:r>
    </w:p>
    <w:p>
      <w:pPr>
        <w:pStyle w:val="Body1"/>
        <w:keepNext w:val="true"/>
        <w:ind w:start="562" w:end="0"/>
        <w:rPr>
          <w:rFonts w:ascii="Times New Roman" w:hAnsi="Times New Roman" w:cs="Times New Roman"/>
          <w:b/>
          <w:sz w:val="24"/>
        </w:rPr>
      </w:pPr>
      <w:r>
        <w:rPr>
          <w:rFonts w:cs="Times New Roman" w:ascii="Times New Roman" w:hAnsi="Times New Roman"/>
          <w:b/>
          <w:sz w:val="24"/>
        </w:rPr>
        <w:t xml:space="preserve">Parties: </w:t>
        <w:tab/>
        <w:t>OPIC and Enron</w:t>
      </w:r>
    </w:p>
    <w:p>
      <w:pPr>
        <w:pStyle w:val="Body1"/>
        <w:rPr>
          <w:rFonts w:ascii="Times New Roman" w:hAnsi="Times New Roman" w:cs="Times New Roman"/>
          <w:sz w:val="24"/>
        </w:rPr>
      </w:pPr>
      <w:r>
        <w:rPr>
          <w:rFonts w:cs="Times New Roman" w:ascii="Times New Roman" w:hAnsi="Times New Roman"/>
          <w:sz w:val="24"/>
        </w:rPr>
        <w:t>Under the OPIC Indemnity Enron undertakes to indemnify and hold harmless OPIC in respect of all losses, claims, damages, liabilities or other expenses to which OPIC may be subject arising out of the provision of any financing or guarantee provided by OPIC to DPC for Phases I or II of Dabhol Power Project. However, such indemnity shall not apply against Enron to the extent that the loss, claim, damage, liability or other expense arises as a result of (i) OPIC’s negligence or misconduct, (ii) a failure by OPIC to fulfil its obligations or (iii) DPC’s failure to pay its financial obligations under the financing agreements, except due to fraud.</w:t>
      </w:r>
    </w:p>
    <w:p>
      <w:pPr>
        <w:pStyle w:val="Body1"/>
        <w:rPr>
          <w:rFonts w:ascii="Times New Roman" w:hAnsi="Times New Roman" w:cs="Times New Roman"/>
          <w:sz w:val="24"/>
        </w:rPr>
      </w:pPr>
      <w:r>
        <w:rPr>
          <w:rFonts w:cs="Times New Roman" w:ascii="Times New Roman" w:hAnsi="Times New Roman"/>
          <w:sz w:val="24"/>
        </w:rPr>
        <w:t>Enron's obligation to indemnify OPIC in respect of 100% of all such losses may be reduced to the extent that either (i) EMC is permitted to sell, assign or transfer any interest in DPC and as a result Enron causes a portion of its obligations under the Indemnity Agreement to be assumed by such assignee or its parent company or (ii) Enron causes a portion of its obligations under the Indemnity Agreement to be assumed by Bechtel or GECC whose portion corresponds to the portion of the ownership interest in DPC owned by such parties. Enron may not assign its obligation under the OPIC Indemnity Agreement without the prior written consent of OPIC.</w:t>
      </w:r>
    </w:p>
    <w:p>
      <w:pPr>
        <w:pStyle w:val="Level1"/>
        <w:numPr>
          <w:ilvl w:val="0"/>
          <w:numId w:val="26"/>
        </w:numPr>
        <w:ind w:hanging="0" w:start="0"/>
        <w:rPr>
          <w:rFonts w:ascii="Times New Roman" w:hAnsi="Times New Roman" w:cs="Times New Roman"/>
          <w:sz w:val="24"/>
        </w:rPr>
      </w:pPr>
      <w:r>
        <w:rPr>
          <w:rFonts w:cs="Times New Roman" w:ascii="Times New Roman" w:hAnsi="Times New Roman"/>
          <w:sz w:val="24"/>
        </w:rPr>
        <w:t>Foreign Exchange and Indemnity Agreement dated April 22, 1999</w:t>
      </w:r>
    </w:p>
    <w:p>
      <w:pPr>
        <w:pStyle w:val="Body1"/>
        <w:rPr>
          <w:rFonts w:ascii="Times New Roman" w:hAnsi="Times New Roman" w:cs="Times New Roman"/>
          <w:b/>
          <w:sz w:val="24"/>
        </w:rPr>
      </w:pPr>
      <w:r>
        <w:rPr>
          <w:rFonts w:cs="Times New Roman" w:ascii="Times New Roman" w:hAnsi="Times New Roman"/>
          <w:b/>
          <w:sz w:val="24"/>
        </w:rPr>
        <w:t>Parties:</w:t>
        <w:tab/>
        <w:t>Enron, GECC, Bechtel, EMC, CIPM and EEMC</w:t>
      </w:r>
    </w:p>
    <w:p>
      <w:pPr>
        <w:pStyle w:val="Body1"/>
        <w:rPr>
          <w:rFonts w:ascii="Times New Roman" w:hAnsi="Times New Roman" w:cs="Times New Roman"/>
          <w:sz w:val="24"/>
        </w:rPr>
      </w:pPr>
      <w:r>
        <w:rPr>
          <w:rFonts w:cs="Times New Roman" w:ascii="Times New Roman" w:hAnsi="Times New Roman"/>
          <w:sz w:val="24"/>
        </w:rPr>
        <w:t>Enron has agreed to execute a number of currency conversions on behalf of Enron, GECC and Bechtel and their respective Mauritian Affiliates as required pursuant to the Equity Subscription Agreement and Project Completion Agreement. Any party may terminate such agreement on 30 days written notice.</w:t>
      </w:r>
    </w:p>
    <w:p>
      <w:pPr>
        <w:pStyle w:val="Level1"/>
        <w:numPr>
          <w:ilvl w:val="0"/>
          <w:numId w:val="26"/>
        </w:numPr>
        <w:ind w:hanging="0" w:start="0"/>
        <w:rPr>
          <w:rFonts w:ascii="Times New Roman" w:hAnsi="Times New Roman" w:cs="Times New Roman"/>
          <w:sz w:val="24"/>
        </w:rPr>
      </w:pPr>
      <w:r>
        <w:rPr>
          <w:rFonts w:cs="Times New Roman" w:ascii="Times New Roman" w:hAnsi="Times New Roman"/>
          <w:sz w:val="24"/>
        </w:rPr>
        <w:t>[Note: Following is only relevant if Enron Power Corp is not transferred.]</w:t>
      </w:r>
    </w:p>
    <w:p>
      <w:pPr>
        <w:pStyle w:val="Level1"/>
        <w:numPr>
          <w:ilvl w:val="0"/>
          <w:numId w:val="0"/>
        </w:numPr>
        <w:ind w:hanging="0" w:start="567" w:end="0"/>
        <w:rPr>
          <w:rFonts w:ascii="Times New Roman" w:hAnsi="Times New Roman" w:cs="Times New Roman"/>
          <w:sz w:val="24"/>
        </w:rPr>
      </w:pPr>
      <w:r>
        <w:rPr>
          <w:rFonts w:cs="Times New Roman" w:ascii="Times New Roman" w:hAnsi="Times New Roman"/>
          <w:sz w:val="24"/>
        </w:rPr>
        <w:t>O&amp;M Guarantees dated 12 December 1994 (Power) and 18 December 1998 (Regas and Marine) (the O&amp;M Guarantees”)</w:t>
      </w:r>
    </w:p>
    <w:p>
      <w:pPr>
        <w:pStyle w:val="Body1"/>
        <w:rPr>
          <w:rFonts w:ascii="Times New Roman" w:hAnsi="Times New Roman" w:cs="Times New Roman"/>
          <w:b/>
          <w:sz w:val="24"/>
        </w:rPr>
      </w:pPr>
      <w:r>
        <w:rPr>
          <w:rFonts w:cs="Times New Roman" w:ascii="Times New Roman" w:hAnsi="Times New Roman"/>
          <w:b/>
          <w:sz w:val="24"/>
        </w:rPr>
        <w:t>Parties: EPC and DPC</w:t>
      </w:r>
    </w:p>
    <w:p>
      <w:pPr>
        <w:pStyle w:val="Body1"/>
        <w:rPr>
          <w:rFonts w:ascii="Times New Roman" w:hAnsi="Times New Roman" w:cs="Times New Roman"/>
          <w:sz w:val="24"/>
        </w:rPr>
      </w:pPr>
      <w:r>
        <w:rPr>
          <w:rFonts w:cs="Times New Roman" w:ascii="Times New Roman" w:hAnsi="Times New Roman"/>
          <w:sz w:val="24"/>
        </w:rPr>
        <w:t>Under each of the O&amp;M’s, EPC has provided a guarantee in respect of the obligations and responsibilities of OPO. In each case, EPC must seek the prior written consent of DPC before transferring its obligations under the guarantee unless the transfer is to an Affiliate of Enron. In this case, the new guarantor must be no less creditworthy than EPC in the opinion of DPC. MSEB may by notice to OPO and DPC require DPC to novate to MSEB all of its rights and obligations under the three Guarantees without the consent of EPC as Guarantor. In addition, Metgas may by notice to OPO and DPC require DPC to novate to Metgas all of its rights and obligations under the Regas and Marine Guarantees without the consent of Enron as Guarantor.</w:t>
      </w:r>
    </w:p>
    <w:p>
      <w:pPr>
        <w:pStyle w:val="Level1"/>
        <w:numPr>
          <w:ilvl w:val="0"/>
          <w:numId w:val="26"/>
        </w:numPr>
        <w:ind w:hanging="0" w:start="0"/>
        <w:rPr>
          <w:rFonts w:ascii="Times New Roman" w:hAnsi="Times New Roman" w:cs="Times New Roman"/>
          <w:sz w:val="24"/>
        </w:rPr>
      </w:pPr>
      <w:r>
        <w:rPr>
          <w:rFonts w:cs="Times New Roman" w:ascii="Times New Roman" w:hAnsi="Times New Roman"/>
          <w:sz w:val="24"/>
        </w:rPr>
        <w:t>Construction Contract Guarantees</w:t>
      </w:r>
    </w:p>
    <w:p>
      <w:pPr>
        <w:pStyle w:val="Body1"/>
        <w:rPr>
          <w:rFonts w:ascii="Times New Roman" w:hAnsi="Times New Roman" w:cs="Times New Roman"/>
          <w:b/>
          <w:sz w:val="24"/>
        </w:rPr>
      </w:pPr>
      <w:r>
        <w:rPr>
          <w:rFonts w:cs="Times New Roman" w:ascii="Times New Roman" w:hAnsi="Times New Roman"/>
          <w:b/>
          <w:sz w:val="24"/>
        </w:rPr>
        <w:t>Power Station Standby Corporate Guarantee dated 30 November 1998 (the “Power Station Guarantee”)</w:t>
      </w:r>
    </w:p>
    <w:p>
      <w:pPr>
        <w:pStyle w:val="Body1"/>
        <w:rPr>
          <w:rFonts w:ascii="Times New Roman" w:hAnsi="Times New Roman" w:cs="Times New Roman"/>
          <w:b/>
          <w:sz w:val="24"/>
        </w:rPr>
      </w:pPr>
      <w:r>
        <w:rPr>
          <w:rFonts w:cs="Times New Roman" w:ascii="Times New Roman" w:hAnsi="Times New Roman"/>
          <w:b/>
          <w:sz w:val="24"/>
        </w:rPr>
        <w:t>Parties: DPC, Bechtel, GECC and Enron</w:t>
      </w:r>
    </w:p>
    <w:p>
      <w:pPr>
        <w:pStyle w:val="Body1"/>
        <w:rPr>
          <w:rFonts w:ascii="Times New Roman" w:hAnsi="Times New Roman" w:cs="Times New Roman"/>
          <w:sz w:val="24"/>
        </w:rPr>
      </w:pPr>
      <w:r>
        <w:rPr>
          <w:rFonts w:cs="Times New Roman" w:ascii="Times New Roman" w:hAnsi="Times New Roman"/>
          <w:sz w:val="24"/>
        </w:rPr>
        <w:t>Bechtel, GECC and Enron are irrevocably guaranteeing the obligations of their respective affiliates under the Phase II Power Station Construction Contracts as such contracts may be amended from time to time (whose obligations are joint and several except for certain enhanced obligations of affiliates of GECC). The maximum aggregate liability of any and all of Bechtel, GECC, Enron and the contractors under the Phase II Power Station Construction Contracts and the Power Station Guarantee will not exceed $178,750,000 for each of Block B and Block C (including a maximum payment of $176 million for both Blocks in respect of liquidated damages), except for indemnities related to third party claims and amounts recovered under insurance taken out by DPC.</w:t>
      </w:r>
    </w:p>
    <w:p>
      <w:pPr>
        <w:pStyle w:val="Body1"/>
        <w:rPr>
          <w:rFonts w:ascii="Times New Roman" w:hAnsi="Times New Roman" w:cs="Times New Roman"/>
          <w:sz w:val="24"/>
        </w:rPr>
      </w:pPr>
      <w:r>
        <w:rPr>
          <w:rFonts w:cs="Times New Roman" w:ascii="Times New Roman" w:hAnsi="Times New Roman"/>
          <w:sz w:val="24"/>
        </w:rPr>
        <w:t>Enron, with the prior written consent of DPC, may assign its rights and obligations under the Guarantee.</w:t>
      </w:r>
    </w:p>
    <w:p>
      <w:pPr>
        <w:pStyle w:val="Body1"/>
        <w:rPr>
          <w:rFonts w:ascii="Times New Roman" w:hAnsi="Times New Roman" w:cs="Times New Roman"/>
          <w:b/>
          <w:sz w:val="24"/>
        </w:rPr>
      </w:pPr>
      <w:r>
        <w:rPr>
          <w:rFonts w:cs="Times New Roman" w:ascii="Times New Roman" w:hAnsi="Times New Roman"/>
          <w:b/>
          <w:sz w:val="24"/>
        </w:rPr>
        <w:t>Standby Corporate Guarantee dated 20 November 1998 (the “Regas Guarantee”)</w:t>
      </w:r>
    </w:p>
    <w:p>
      <w:pPr>
        <w:pStyle w:val="Body1"/>
        <w:rPr>
          <w:rFonts w:ascii="Times New Roman" w:hAnsi="Times New Roman" w:cs="Times New Roman"/>
          <w:b/>
          <w:sz w:val="24"/>
        </w:rPr>
      </w:pPr>
      <w:r>
        <w:rPr>
          <w:rFonts w:cs="Times New Roman" w:ascii="Times New Roman" w:hAnsi="Times New Roman"/>
          <w:b/>
          <w:sz w:val="24"/>
        </w:rPr>
        <w:t>Parties: DPC and Enron</w:t>
      </w:r>
    </w:p>
    <w:p>
      <w:pPr>
        <w:pStyle w:val="Body1"/>
        <w:rPr>
          <w:rFonts w:ascii="Times New Roman" w:hAnsi="Times New Roman" w:cs="Times New Roman"/>
          <w:sz w:val="24"/>
        </w:rPr>
      </w:pPr>
      <w:r>
        <w:rPr>
          <w:rFonts w:cs="Times New Roman" w:ascii="Times New Roman" w:hAnsi="Times New Roman"/>
          <w:sz w:val="24"/>
        </w:rPr>
        <w:t>Enron has irrevocably guaranteed the payment and performance obligations of the LNG Facility Contractors under the LNG Facility Construction Contracts as such contracts may be amended from time to time, subject to the liability limitations set forth therein. The LNG Facility contractors’ aggregate liability to the Company under the LNG Facility Construction Contracts is limited to 30% of the LNG Facility Contract Price of approximately US$350 million (although this is likely to increase as a result of contract variations). Such limitation does not, however, apply in respect of any damage or loss resulting from any wilful misconduct of the LNG Facility contractors, any liability pursuant to the LNG Facility contractors’ indemnity obligations or any amounts recovered by the LNG Facility contractors under the insurances taken out and maintained by DPC for Phase II of the Project. Neither DPC nor the LNG Facility contractors have any liability to the other in respect of consequential losses resulting from the performance of the LNG Facility Construction Contract except as is specifically provided.</w:t>
      </w:r>
    </w:p>
    <w:p>
      <w:pPr>
        <w:pStyle w:val="Body1"/>
        <w:rPr>
          <w:rFonts w:ascii="Times New Roman" w:hAnsi="Times New Roman" w:cs="Times New Roman"/>
          <w:sz w:val="24"/>
        </w:rPr>
      </w:pPr>
      <w:r>
        <w:rPr>
          <w:rFonts w:cs="Times New Roman" w:ascii="Times New Roman" w:hAnsi="Times New Roman"/>
          <w:sz w:val="24"/>
        </w:rPr>
        <w:t>Enron, with the prior written consent of DPC, may assign its rights and obligations under the Guarantee.</w:t>
      </w:r>
    </w:p>
    <w:p>
      <w:pPr>
        <w:pStyle w:val="Body1"/>
        <w:rPr>
          <w:rFonts w:ascii="Times New Roman" w:hAnsi="Times New Roman" w:cs="Times New Roman"/>
          <w:sz w:val="24"/>
        </w:rPr>
      </w:pPr>
      <w:r>
        <w:rPr>
          <w:rFonts w:cs="Times New Roman" w:ascii="Times New Roman" w:hAnsi="Times New Roman"/>
          <w:sz w:val="24"/>
        </w:rPr>
        <w:t>In addition, as security for the performance of the obligations of the LNG Facility contractors, in lieu of retention amounts, each of the LNG Facility contractors (EEPC, EPS and Lingtec) has posted a letter of credit in an amount equal to 5% of all amounts paid by DPC under the LNG Facility Construction Contracts.</w:t>
      </w:r>
    </w:p>
    <w:p>
      <w:pPr>
        <w:pStyle w:val="Level1"/>
        <w:numPr>
          <w:ilvl w:val="0"/>
          <w:numId w:val="26"/>
        </w:numPr>
        <w:ind w:hanging="0" w:start="0"/>
        <w:rPr>
          <w:rFonts w:ascii="Times New Roman" w:hAnsi="Times New Roman" w:cs="Times New Roman"/>
          <w:sz w:val="24"/>
        </w:rPr>
      </w:pPr>
      <w:r>
        <w:rPr>
          <w:rFonts w:cs="Times New Roman" w:ascii="Times New Roman" w:hAnsi="Times New Roman"/>
          <w:sz w:val="24"/>
        </w:rPr>
        <w:t>Fuel Management Agreement dated 12 March 1999 (the “FMA”)</w:t>
      </w:r>
    </w:p>
    <w:p>
      <w:pPr>
        <w:pStyle w:val="Body1"/>
        <w:rPr>
          <w:rFonts w:ascii="Times New Roman" w:hAnsi="Times New Roman" w:cs="Times New Roman"/>
          <w:b/>
          <w:sz w:val="24"/>
        </w:rPr>
      </w:pPr>
      <w:r>
        <w:rPr>
          <w:rFonts w:cs="Times New Roman" w:ascii="Times New Roman" w:hAnsi="Times New Roman"/>
          <w:b/>
          <w:sz w:val="24"/>
        </w:rPr>
        <w:t>Parties: DPC and Enron Fuels International</w:t>
      </w:r>
    </w:p>
    <w:p>
      <w:pPr>
        <w:pStyle w:val="Body1"/>
        <w:rPr>
          <w:rFonts w:ascii="Times New Roman" w:hAnsi="Times New Roman" w:cs="Times New Roman"/>
          <w:sz w:val="24"/>
        </w:rPr>
      </w:pPr>
      <w:r>
        <w:rPr>
          <w:rFonts w:cs="Times New Roman" w:ascii="Times New Roman" w:hAnsi="Times New Roman"/>
          <w:sz w:val="24"/>
        </w:rPr>
        <w:t>Clause 4.4 of the FMA states that the Fuel Manager shall be deemed to have full knowledge of the O&amp;M Agreements and the Purchaser’s Representative Onshore and Offshore Agreements and the  Fuel Manager acknowledges that no act, omission or default by any of the above entities shall constitute a default under the FMA allowing the Fuel Manager to claim against DPC. This provision shall only apply in respect of the Purchaser’s Representative and the Operator while they are Affiliates of Enron. Under the FMA, the term “Affiliate” has the same meaning as provided in the PPA.</w:t>
      </w:r>
    </w:p>
    <w:p>
      <w:pPr>
        <w:pStyle w:val="Body1"/>
        <w:rPr>
          <w:rFonts w:ascii="Times New Roman" w:hAnsi="Times New Roman" w:cs="Times New Roman"/>
          <w:sz w:val="24"/>
        </w:rPr>
      </w:pPr>
      <w:r>
        <w:rPr>
          <w:rFonts w:cs="Times New Roman" w:ascii="Times New Roman" w:hAnsi="Times New Roman"/>
          <w:sz w:val="24"/>
        </w:rPr>
        <w:t>Under Clause 16.2 of the FMA, the Fuel Manager may assign its rights and obligations after obtaining the prior written consent of DPC and MSEB (which consent cannot be unreasonably withheld if the assignment is to an Enron Affiliate and is on terms that the guarantor simultaneously executes and delivers a new parent company guarantee covering the obligations of the assignee).</w:t>
      </w:r>
    </w:p>
    <w:p>
      <w:pPr>
        <w:pStyle w:val="Body1"/>
        <w:rPr/>
      </w:pPr>
      <w:r>
        <w:rPr>
          <w:rFonts w:cs="Times New Roman" w:ascii="Times New Roman" w:hAnsi="Times New Roman"/>
          <w:b/>
          <w:sz w:val="24"/>
        </w:rPr>
        <w:t xml:space="preserve">Note: </w:t>
      </w:r>
      <w:r>
        <w:rPr>
          <w:rFonts w:cs="Times New Roman" w:ascii="Times New Roman" w:hAnsi="Times New Roman"/>
          <w:sz w:val="24"/>
        </w:rPr>
        <w:t xml:space="preserve"> Consequence for FMA depends on whether Enron Fuels International will form part of the package transferred to EI or instead remain with Enron.</w:t>
      </w:r>
    </w:p>
    <w:p>
      <w:pPr>
        <w:pStyle w:val="Level1"/>
        <w:numPr>
          <w:ilvl w:val="0"/>
          <w:numId w:val="26"/>
        </w:numPr>
        <w:ind w:hanging="0" w:start="0"/>
        <w:rPr>
          <w:rFonts w:ascii="Times New Roman" w:hAnsi="Times New Roman" w:cs="Times New Roman"/>
          <w:sz w:val="24"/>
        </w:rPr>
      </w:pPr>
      <w:r>
        <w:rPr>
          <w:rFonts w:cs="Times New Roman" w:ascii="Times New Roman" w:hAnsi="Times New Roman"/>
          <w:sz w:val="24"/>
        </w:rPr>
        <w:t>Fuel Management Agreement Guarantee dated 25 February 1995 (the “FMA Guarantee”)</w:t>
      </w:r>
    </w:p>
    <w:p>
      <w:pPr>
        <w:pStyle w:val="Body1"/>
        <w:rPr>
          <w:rFonts w:ascii="Times New Roman" w:hAnsi="Times New Roman" w:cs="Times New Roman"/>
          <w:b/>
          <w:sz w:val="24"/>
        </w:rPr>
      </w:pPr>
      <w:r>
        <w:rPr>
          <w:rFonts w:cs="Times New Roman" w:ascii="Times New Roman" w:hAnsi="Times New Roman"/>
          <w:b/>
          <w:sz w:val="24"/>
        </w:rPr>
        <w:t>Parties: DPC and EPC</w:t>
      </w:r>
    </w:p>
    <w:p>
      <w:pPr>
        <w:pStyle w:val="Body1"/>
        <w:rPr>
          <w:rFonts w:ascii="Times New Roman" w:hAnsi="Times New Roman" w:cs="Times New Roman"/>
          <w:sz w:val="24"/>
        </w:rPr>
      </w:pPr>
      <w:r>
        <w:rPr>
          <w:rFonts w:cs="Times New Roman" w:ascii="Times New Roman" w:hAnsi="Times New Roman"/>
          <w:sz w:val="24"/>
        </w:rPr>
        <w:t>EPC has provided a guarantee to DPC whereby it guarantees that the Fuel Manager will perform its obligations and responsibilities under the Fuel Management Agreement. EPC cannot, without the prior written consent of DPC, assign or transfer the benefit or obligations under the Guarantee except in the case of a transfer by EPC to one of is Affiliates, which in DPC’s opinion is no less creditworthy than EPC.</w:t>
      </w:r>
    </w:p>
    <w:p>
      <w:pPr>
        <w:pStyle w:val="Body1"/>
        <w:rPr>
          <w:rFonts w:ascii="Times New Roman" w:hAnsi="Times New Roman" w:cs="Times New Roman"/>
          <w:sz w:val="24"/>
        </w:rPr>
      </w:pPr>
      <w:r>
        <w:rPr>
          <w:rFonts w:cs="Times New Roman" w:ascii="Times New Roman" w:hAnsi="Times New Roman"/>
          <w:sz w:val="24"/>
        </w:rPr>
        <w:t>The Fuel Manager’s liability in any contract year under the FMA shall not exceed the PPA Fuel Management Fee payable in respect of such year (which limit shall exclude indemnities in respect of third party claims). There are no change of control restrictions on EPC in the FMA Guarantee.</w:t>
      </w:r>
    </w:p>
    <w:p>
      <w:pPr>
        <w:pStyle w:val="Body1"/>
        <w:rPr/>
      </w:pPr>
      <w:r>
        <w:rPr>
          <w:rFonts w:cs="Times New Roman" w:ascii="Times New Roman" w:hAnsi="Times New Roman"/>
          <w:b/>
          <w:sz w:val="24"/>
        </w:rPr>
        <w:t>[Note:</w:t>
      </w:r>
      <w:r>
        <w:rPr>
          <w:rFonts w:cs="Times New Roman" w:ascii="Times New Roman" w:hAnsi="Times New Roman"/>
          <w:sz w:val="24"/>
        </w:rPr>
        <w:t xml:space="preserve"> Relevance dependent on whether EPDC is to be transferred to EI or remains with Enron.]</w:t>
      </w:r>
    </w:p>
    <w:p>
      <w:pPr>
        <w:pStyle w:val="Level1"/>
        <w:numPr>
          <w:ilvl w:val="0"/>
          <w:numId w:val="26"/>
        </w:numPr>
        <w:ind w:hanging="0" w:start="0"/>
        <w:rPr>
          <w:rFonts w:ascii="Times New Roman" w:hAnsi="Times New Roman" w:cs="Times New Roman"/>
          <w:sz w:val="24"/>
        </w:rPr>
      </w:pPr>
      <w:r>
        <w:rPr>
          <w:rFonts w:cs="Times New Roman" w:ascii="Times New Roman" w:hAnsi="Times New Roman"/>
          <w:sz w:val="24"/>
        </w:rPr>
        <w:t>Purchaser’s Representative’s Agreements dated May 9, 1994</w:t>
      </w:r>
    </w:p>
    <w:p>
      <w:pPr>
        <w:pStyle w:val="Body1"/>
        <w:rPr>
          <w:rFonts w:ascii="Times New Roman" w:hAnsi="Times New Roman" w:cs="Times New Roman"/>
          <w:b/>
          <w:sz w:val="24"/>
        </w:rPr>
      </w:pPr>
      <w:r>
        <w:rPr>
          <w:rFonts w:cs="Times New Roman" w:ascii="Times New Roman" w:hAnsi="Times New Roman"/>
          <w:b/>
          <w:sz w:val="24"/>
        </w:rPr>
        <w:t>Parties:</w:t>
        <w:tab/>
        <w:t>DPC and Enron Mauritius Services Co (Offshore) and DPC and OPO (Onshore)</w:t>
      </w:r>
    </w:p>
    <w:p>
      <w:pPr>
        <w:pStyle w:val="Body1"/>
        <w:rPr>
          <w:rFonts w:ascii="Times New Roman" w:hAnsi="Times New Roman" w:cs="Times New Roman"/>
          <w:sz w:val="24"/>
        </w:rPr>
      </w:pPr>
      <w:r>
        <w:rPr>
          <w:rFonts w:cs="Times New Roman" w:ascii="Times New Roman" w:hAnsi="Times New Roman"/>
          <w:sz w:val="24"/>
        </w:rPr>
        <w:t>DPC has entered into two Purchaser’s Representative’s Agreements pursuant to which the Purchaser’s Representatives will provide certain supervisory and management services to DPC in relation to the design, construction, commissioning, testing and procurement of Phase I of the Power Station.</w:t>
      </w:r>
    </w:p>
    <w:p>
      <w:pPr>
        <w:pStyle w:val="Body1"/>
        <w:rPr>
          <w:rFonts w:ascii="Times New Roman" w:hAnsi="Times New Roman" w:cs="Times New Roman"/>
          <w:sz w:val="24"/>
        </w:rPr>
      </w:pPr>
      <w:r>
        <w:rPr>
          <w:rFonts w:cs="Times New Roman" w:ascii="Times New Roman" w:hAnsi="Times New Roman"/>
          <w:sz w:val="24"/>
        </w:rPr>
        <w:t>Each Purchaser’s Representative shall indemnify DPC against losses arising in respect of a third party claim for personal injury, death or property loss or damage to the extent that such Purchaser’s Representative or its subcontractors fail to comply with good industry practice. The aggregate liability of the Purchaser’s Representatives is subject to a cap of $2 million except in respect of the indemnity by the Purchaser’s Representatives for claims by third parties and excluding amounts recovered by the Purchaser’s Representatives under the insurance policies taken out by DPC. All liability of the Purchaser’s Representatives and DPC terminates four years after Taking-Over under the Phase I Construction Contracts, except for claims already made.</w:t>
      </w:r>
    </w:p>
    <w:p>
      <w:pPr>
        <w:pStyle w:val="Level1"/>
        <w:numPr>
          <w:ilvl w:val="0"/>
          <w:numId w:val="26"/>
        </w:numPr>
        <w:ind w:hanging="0" w:start="0"/>
        <w:rPr>
          <w:rFonts w:ascii="Times New Roman" w:hAnsi="Times New Roman" w:cs="Times New Roman"/>
          <w:sz w:val="24"/>
        </w:rPr>
      </w:pPr>
      <w:r>
        <w:rPr>
          <w:rFonts w:cs="Times New Roman" w:ascii="Times New Roman" w:hAnsi="Times New Roman"/>
          <w:sz w:val="24"/>
        </w:rPr>
        <w:t>Purchasers Representative Guarantee dated May 9, 1994 (the “Purchaser’s Representative Guarantee”)</w:t>
      </w:r>
    </w:p>
    <w:p>
      <w:pPr>
        <w:pStyle w:val="Body1"/>
        <w:rPr>
          <w:rFonts w:ascii="Times New Roman" w:hAnsi="Times New Roman" w:cs="Times New Roman"/>
          <w:sz w:val="24"/>
        </w:rPr>
      </w:pPr>
      <w:r>
        <w:rPr>
          <w:rFonts w:cs="Times New Roman" w:ascii="Times New Roman" w:hAnsi="Times New Roman"/>
          <w:b/>
          <w:sz w:val="24"/>
        </w:rPr>
        <w:t>Parties:</w:t>
        <w:tab/>
        <w:t>DPC and EPC</w:t>
      </w:r>
    </w:p>
    <w:p>
      <w:pPr>
        <w:pStyle w:val="Body1"/>
        <w:rPr>
          <w:rFonts w:ascii="Times New Roman" w:hAnsi="Times New Roman" w:cs="Times New Roman"/>
          <w:sz w:val="24"/>
        </w:rPr>
      </w:pPr>
      <w:r>
        <w:rPr>
          <w:rFonts w:cs="Times New Roman" w:ascii="Times New Roman" w:hAnsi="Times New Roman"/>
          <w:sz w:val="24"/>
        </w:rPr>
        <w:t>Under the Purchaser’s Representative Guarantee EPC has provided a guarantee to DPC of the Purchaser’s Representatives performance obligations up to the aggregate liability level stipulated above.</w:t>
      </w:r>
    </w:p>
    <w:p>
      <w:pPr>
        <w:pStyle w:val="Body1"/>
        <w:rPr>
          <w:rFonts w:ascii="Times New Roman" w:hAnsi="Times New Roman" w:cs="Times New Roman"/>
          <w:sz w:val="24"/>
        </w:rPr>
      </w:pPr>
      <w:r>
        <w:rPr>
          <w:rFonts w:cs="Times New Roman" w:ascii="Times New Roman" w:hAnsi="Times New Roman"/>
          <w:sz w:val="24"/>
        </w:rPr>
        <w:t>EPC cannot assign the benefit of the Purchaser’s Representative Guarantee without the prior written consent of DPC.</w:t>
      </w:r>
    </w:p>
    <w:p>
      <w:pPr>
        <w:pStyle w:val="Level1"/>
        <w:numPr>
          <w:ilvl w:val="0"/>
          <w:numId w:val="26"/>
        </w:numPr>
        <w:ind w:hanging="0" w:start="0"/>
        <w:rPr>
          <w:rFonts w:ascii="Times New Roman" w:hAnsi="Times New Roman" w:cs="Times New Roman"/>
          <w:sz w:val="24"/>
        </w:rPr>
      </w:pPr>
      <w:r>
        <w:rPr>
          <w:rFonts w:cs="Times New Roman" w:ascii="Times New Roman" w:hAnsi="Times New Roman"/>
          <w:sz w:val="24"/>
        </w:rPr>
        <w:t>O&amp;M Guarantees dated 12 December 1994 (Power) and 18 December 1998 (Regas and Marine) (the O&amp;M Guarantees”)</w:t>
      </w:r>
    </w:p>
    <w:p>
      <w:pPr>
        <w:pStyle w:val="Body1"/>
        <w:rPr>
          <w:rFonts w:ascii="Times New Roman" w:hAnsi="Times New Roman" w:cs="Times New Roman"/>
          <w:b/>
          <w:sz w:val="24"/>
        </w:rPr>
      </w:pPr>
      <w:r>
        <w:rPr>
          <w:rFonts w:cs="Times New Roman" w:ascii="Times New Roman" w:hAnsi="Times New Roman"/>
          <w:b/>
          <w:sz w:val="24"/>
        </w:rPr>
        <w:t>Parties: EPC and DPC</w:t>
      </w:r>
    </w:p>
    <w:p>
      <w:pPr>
        <w:pStyle w:val="Body1"/>
        <w:rPr>
          <w:rFonts w:ascii="Times New Roman" w:hAnsi="Times New Roman" w:cs="Times New Roman"/>
          <w:sz w:val="24"/>
        </w:rPr>
      </w:pPr>
      <w:r>
        <w:rPr>
          <w:rFonts w:cs="Times New Roman" w:ascii="Times New Roman" w:hAnsi="Times New Roman"/>
          <w:sz w:val="24"/>
        </w:rPr>
        <w:t>Under each of the O&amp;M’s, EPC has provided a guarantee in respect of the obligations and responsibilities of OPO. In each case, EPC must seek the prior written consent of DPC before transferring its obligations under the guarantee unless the transfer is to an Affiliate of Enron. In this case, the new guarantor must be no less creditworthy than EPC in the opinion of DPC. MSEB may by notice to OPO and DPC require DPC to novate to MSEB all of its rights and obligations under the three Guarantees without the consent of Enron as Guarantor. In addition, Metgas may by notice to OPO and DPC require DPC to novate to Metgas all of its rights and obligations under the Regas and Marine Guarantees without the consent of Enron as Guarantor.</w:t>
      </w:r>
    </w:p>
    <w:p>
      <w:pPr>
        <w:pStyle w:val="Body1"/>
        <w:rPr>
          <w:rFonts w:ascii="Times New Roman" w:hAnsi="Times New Roman" w:cs="Times New Roman"/>
          <w:sz w:val="24"/>
        </w:rPr>
      </w:pPr>
      <w:r>
        <w:rPr>
          <w:rFonts w:cs="Times New Roman" w:ascii="Times New Roman" w:hAnsi="Times New Roman"/>
          <w:sz w:val="24"/>
        </w:rPr>
        <w:t>Under the Power O&amp;M the aggregate amount of all liquidated damages payable by OPO in respect of any one year may not exceed an amount equal to (i) the combined operating fees under each of the O&amp;M Agreements for such year, and (ii) the net amount of any bonuses (after deducting the amount of any liquidated damages paid to DPC) actually paid by the DPC to OPO in respect of the immediately preceding year.</w:t>
      </w:r>
    </w:p>
    <w:p>
      <w:pPr>
        <w:pStyle w:val="Body1"/>
        <w:rPr>
          <w:rFonts w:ascii="Times New Roman" w:hAnsi="Times New Roman" w:cs="Times New Roman"/>
          <w:sz w:val="24"/>
        </w:rPr>
      </w:pPr>
      <w:r>
        <w:rPr>
          <w:rFonts w:cs="Times New Roman" w:ascii="Times New Roman" w:hAnsi="Times New Roman"/>
          <w:sz w:val="24"/>
        </w:rPr>
        <w:t>Under the Regas O&amp;M the aggregate amount of all liquidated damages payable by OPO in respect of any one year may not exceed (i) the Regas operating fee for such year to the extent that such liquidated damages relate to LNG allocable to Metgas, plus any bonuses actually paid by DPC to OPO in respect of the immediately preceding year (after deducting the amount of any liquidated damages paid in that year to DPC), and (ii) the combined operating fees under each of the O&amp;M Agreements for such year to the extent such liquidated damages relate to LNG allocable to DPC, plus any bonuses actually paid by DPC to OPO in respect of the immediately preceding year (after deducting the amount of any liquidated damages paid in that year to DPC).</w:t>
      </w:r>
    </w:p>
    <w:p>
      <w:pPr>
        <w:pStyle w:val="Body1"/>
        <w:rPr>
          <w:rFonts w:ascii="Times New Roman" w:hAnsi="Times New Roman" w:cs="Times New Roman"/>
          <w:sz w:val="24"/>
        </w:rPr>
      </w:pPr>
      <w:r>
        <w:rPr>
          <w:rFonts w:cs="Times New Roman" w:ascii="Times New Roman" w:hAnsi="Times New Roman"/>
          <w:sz w:val="24"/>
        </w:rPr>
        <w:t xml:space="preserve">Under the Marine O&amp;M the liquidated damages under the Marine O&amp;M are the same as those under the Regas O&amp;M, as described above, however, there are no liquidated damages or bonuses in relation to allowable loss percentages. </w:t>
      </w:r>
    </w:p>
    <w:p>
      <w:pPr>
        <w:pStyle w:val="Body1"/>
        <w:rPr>
          <w:rFonts w:ascii="Times New Roman" w:hAnsi="Times New Roman" w:cs="Times New Roman"/>
          <w:sz w:val="24"/>
        </w:rPr>
      </w:pPr>
      <w:r>
        <w:rPr>
          <w:rFonts w:cs="Times New Roman" w:ascii="Times New Roman" w:hAnsi="Times New Roman"/>
          <w:sz w:val="24"/>
        </w:rPr>
      </w:r>
    </w:p>
    <w:p>
      <w:pPr>
        <w:pStyle w:val="Heading2"/>
        <w:ind w:hanging="0" w:start="0"/>
        <w:rPr/>
      </w:pPr>
      <w:r>
        <w:rPr/>
        <w:t>Wockhardt Lease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[Enron Corp. has agreed, as a matter of internal approvals, to provide a guarantee in respect of the bond financing for the purchase and development by Enron India Private Limited of new office premises in Bombay to house all of Enron India, DPC and other Enron employees.  The financing transaction is currently being discussed with financial institutions and to date (17 July 2000) no guarantee has been put in place.]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Heading4"/>
        <w:ind w:hanging="0" w:start="0"/>
        <w:rPr/>
      </w:pPr>
      <w:r>
        <w:rPr/>
        <w:t>EIPL</w:t>
      </w:r>
    </w:p>
    <w:p>
      <w:pPr>
        <w:sectPr>
          <w:headerReference w:type="default" r:id="rId56"/>
          <w:headerReference w:type="first" r:id="rId57"/>
          <w:footerReference w:type="default" r:id="rId58"/>
          <w:footerReference w:type="first" r:id="rId59"/>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EIPL has entered into short term working capital facilities with Standard Chartered Bank and Deutsche Bank which have each been guaranteed by Enron Corp. </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SCHEDULE 5.11(a)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EMPLOYEES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[to be determined]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60"/>
          <w:headerReference w:type="first" r:id="rId61"/>
          <w:footerReference w:type="default" r:id="rId62"/>
          <w:footerReference w:type="first" r:id="rId63"/>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SCHEDULE 5.11(b)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EMPLOYEES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following is a list by Business of the Significant Benefit Plans, including the most recent actuarial report and valuation of the assets and liabilities subject to each Significant Benefit Plan to the extent that any such report or valuation is required to be prepared by applicable Laws and Regulations: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64"/>
          <w:headerReference w:type="first" r:id="rId65"/>
          <w:footerReference w:type="default" r:id="rId66"/>
          <w:footerReference w:type="first" r:id="rId67"/>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[to be provided once definition of Significant is determined]</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SCHEDULE 5.12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ENVIRONMENTAL MATTERS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Schedule sets forth qualifications of the representation and warranty contained in subsection 5.12 of the Agreement relating to environmental matters: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Heading4"/>
        <w:ind w:hanging="0" w:start="0"/>
        <w:rPr/>
      </w:pPr>
      <w:r>
        <w:rPr/>
        <w:t>Dabhol Power Project</w:t>
      </w:r>
    </w:p>
    <w:p>
      <w:pPr>
        <w:pStyle w:val="BodyTextIndent2"/>
        <w:ind w:hanging="0" w:start="0" w:end="0"/>
        <w:rPr>
          <w:sz w:val="24"/>
        </w:rPr>
      </w:pPr>
      <w:r>
        <w:rPr>
          <w:sz w:val="24"/>
        </w:rPr>
        <w:t xml:space="preserve">Since December of 1999, oil contamination of varying degrees has been discovered in several different water sources around the Dabhol plant. The first incidence of contamination was reported in December 1999 when a small quantity of oil was discovered in flowing springs west of the plant.  In April of 2000, oil contamination was again discovered, this time in two wells close to the village of Anjanvel.  Both of the two Anjanvel wells affected lie on private property.  To date, the public wells of the village have not evidenced any contamination although they are close in proximity to the  affected wells. </w:t>
      </w:r>
    </w:p>
    <w:p>
      <w:pPr>
        <w:pStyle w:val="Normal"/>
        <w:rPr>
          <w:sz w:val="24"/>
        </w:rPr>
      </w:pPr>
      <w:r>
        <w:rPr>
          <w:sz w:val="24"/>
        </w:rPr>
      </w:r>
    </w:p>
    <w:p>
      <w:pPr>
        <w:pStyle w:val="Normal"/>
        <w:rPr/>
      </w:pPr>
      <w:r>
        <w:rPr/>
        <w:tab/>
        <w:t xml:space="preserve">Given that the plant is among the only industrial facilities in the Anjanvel area using refined oil and considering that the affected water sources are located downhill from the plant, it is not unreasonable to believe that the oil discovered in affected water sources originated at the plant.  Although the specifications of the oil discovered do not match specifications of either distillate or naphtha used at the plant, the specifications of oil discovered are consistent with specifications of a mixture of the two fuels.  Other possibilities, such as intentional pollution of area wells, have not been ruled out. </w:t>
      </w:r>
    </w:p>
    <w:p>
      <w:pPr>
        <w:pStyle w:val="Normal"/>
        <w:rPr/>
      </w:pPr>
      <w:r>
        <w:rPr/>
      </w:r>
    </w:p>
    <w:p>
      <w:pPr>
        <w:pStyle w:val="Normal"/>
        <w:rPr/>
      </w:pPr>
      <w:r>
        <w:rPr/>
        <w:tab/>
        <w:t xml:space="preserve">In June 1999 it was discovered that several release valves under these “day tanks” were not sealed.  Although the valves were encased in concrete, it was discovered that a certain amount of oil had flowed out of the tanks, seeped through the concrete and soaked into the ground around the day tanks.  All of the oil leaking from the tanks was recovered and the day tank release valves were properly sealed.  No further leaking from the release valves or the day tanks has occurred.  As there was no reason to believe the oil leakage had contaminated any ground outside of the plant, Indian environmental law did not require any report of the June 1999 incident.  To date,  no  conclusive link between the leakage discovered in June 1999 and the contaminated water sources around the plant has been made. </w:t>
      </w:r>
    </w:p>
    <w:p>
      <w:pPr>
        <w:pStyle w:val="Normal"/>
        <w:ind w:firstLine="720" w:end="0"/>
        <w:rPr/>
      </w:pPr>
      <w:r>
        <w:rPr/>
      </w:r>
    </w:p>
    <w:p>
      <w:pPr>
        <w:pStyle w:val="Normal"/>
        <w:ind w:firstLine="720" w:end="0"/>
        <w:rPr/>
      </w:pPr>
      <w:r>
        <w:rPr/>
        <w:t>At the request of the Maharashtra Pollution Control Board (MPCB), DPC appointed a geological survey in late April to investigate the source of water contamination at the villages.  The report of this investigation has not yet been issued.</w:t>
      </w:r>
    </w:p>
    <w:p>
      <w:pPr>
        <w:pStyle w:val="Normal"/>
        <w:rPr/>
      </w:pPr>
      <w:r>
        <w:rPr/>
      </w:r>
    </w:p>
    <w:p>
      <w:pPr>
        <w:pStyle w:val="Normal"/>
        <w:rPr/>
      </w:pPr>
      <w:r>
        <w:rPr/>
        <w:tab/>
        <w:t xml:space="preserve">Although a link with the plant or with the June 1999 leakage has not been  made, DPC has made all efforts to mitigate the effects of the oil contamination.  All of the oil which has been discovered to date has been immediately cleaned up, fresh water has been trucked into affected areas and oil water separators have been installed in area wells.  DPC has retained several environmental consultants to monitor the plant for indications of spilled oil and to monitor area wells for indications of increased or continuing contamination.  As part of this effort, DPC has dug eighteen bore holes between the plant and the village of Anjanvel and is monitoring these bore holes daily.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68"/>
          <w:headerReference w:type="first" r:id="rId69"/>
          <w:footerReference w:type="default" r:id="rId70"/>
          <w:footerReference w:type="first" r:id="rId71"/>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SCHEDULE 5.13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LITIGATION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Schedule sets forth qualifications of the representation and warranty contained in Section 5.13 of the Agreement relating to litigation: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72"/>
          <w:headerReference w:type="first" r:id="rId73"/>
          <w:footerReference w:type="default" r:id="rId74"/>
          <w:footerReference w:type="first" r:id="rId75"/>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[provided by Bob Williams]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SCHEDULE 5.14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MATERIAL ADVERSE CHANGES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Schedule sets forth qualifications of the representation and warranty contained in Section 5.14 of the Agreement relating to material adverse changes: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Heading7"/>
        <w:rPr/>
      </w:pPr>
      <w:r>
        <w:rPr/>
        <w:t>Note to V&amp;E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We have not seen or received the Initial Balance Sheet and  therefore any comments under this section remain subject to a review of the Initial Balance Sheet.  Similarly, further comments may be necessary upon a review of the Development Budgets which have not been reviewed either.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Heading6"/>
        <w:rPr/>
      </w:pPr>
      <w:r>
        <w:rPr/>
        <w:t>Dabhol Power Project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By an agreement dated [March] 2000, Dabhol Power Company and Lingtech, the LNG Contractor, agreed to a contract variation under the LNG Construction Contract; the variation contemplates an increase in the Contract Price by US$108 million.  Based on the information currently available to us it is anticipated that, assuming current projected capital expenditure levels, and drawdown of committed equity, the sponsors will be required to make equity contributions under the project completion support arrangements (described under Section 5.10 (b) above).  Enron has agreed, under the latter arrangements, to meet 80% of such costs, i.e. US$82 million of the contract variation amount.</w:t>
      </w:r>
    </w:p>
    <w:p>
      <w:pPr>
        <w:sectPr>
          <w:headerReference w:type="default" r:id="rId76"/>
          <w:headerReference w:type="first" r:id="rId77"/>
          <w:footerReference w:type="default" r:id="rId78"/>
          <w:footerReference w:type="first" r:id="rId79"/>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0" w:name="QuickMark"/>
      <w:bookmarkEnd w:id="0"/>
      <w:r>
        <w:rPr/>
        <w:tab/>
      </w:r>
      <w:r>
        <w:rPr>
          <w:b/>
        </w:rPr>
        <w:t>SCHEDULE 7.02(a)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CONTRACTUAL SALE COMMITMENTS RELATING TO SECURITIES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[Since changes have been made to this section of P&amp;S (Subject Company became Transfer Company &amp; written consent of member of Senior Management Team and officer of MINT required, will have to re-evaluate if any Transfer Companies need to be listed.]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80"/>
          <w:headerReference w:type="first" r:id="rId81"/>
          <w:footerReference w:type="default" r:id="rId82"/>
          <w:footerReference w:type="first" r:id="rId83"/>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SCHEDULE 7.02(b)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EXCEPTIONS TO NEGATIVE COVENANTS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NONE</w:t>
      </w:r>
    </w:p>
    <w:p>
      <w:pPr>
        <w:sectPr>
          <w:headerReference w:type="default" r:id="rId84"/>
          <w:headerReference w:type="first" r:id="rId85"/>
          <w:footerReference w:type="default" r:id="rId86"/>
          <w:footerReference w:type="first" r:id="rId87"/>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SCHEDULE 7.02(d)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CAPITAL BUDGETS AND DEVELOPMENT BUDGETS</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[not available yet]</w:t>
      </w:r>
    </w:p>
    <w:p>
      <w:pPr>
        <w:sectPr>
          <w:headerReference w:type="default" r:id="rId88"/>
          <w:headerReference w:type="first" r:id="rId89"/>
          <w:footerReference w:type="default" r:id="rId90"/>
          <w:footerReference w:type="first" r:id="rId91"/>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headerReference w:type="default" r:id="rId92"/>
          <w:headerReference w:type="first" r:id="rId93"/>
          <w:footerReference w:type="default" r:id="rId94"/>
          <w:footerReference w:type="first" r:id="rId95"/>
          <w:type w:val="nextPage"/>
          <w:pgSz w:w="12240" w:h="15840"/>
          <w:pgMar w:left="1440" w:right="1440" w:gutter="0" w:header="1440" w:top="1496" w:footer="1440" w:bottom="1496"/>
          <w:pgNumType w:fmt="decimal"/>
          <w:formProt w:val="false"/>
          <w:textDirection w:val="lrTb"/>
          <w:docGrid w:type="default" w:linePitch="360" w:charSpace="0"/>
        </w:sectPr>
        <w:pStyle w:val="Normal"/>
        <w:numPr>
          <w:ilvl w:val="0"/>
          <w:numId w:val="0"/>
        </w:numPr>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SCHEDULE 7.05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RELATED PARTY CONTRACTS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Schedule sets forth a list of all Related Party Contracts and specifies the actions (whether to terminate, to continue or to modify and continue) to be taken with respect to each such contract prior to the Closing).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Heading3"/>
        <w:tabs>
          <w:tab w:val="clear" w:pos="468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rPr/>
      </w:pPr>
      <w:r>
        <w:rPr/>
        <w:t>DPC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Amended and Restated Fuel Management Agreement among Dabhol Power Company, Enron Fuels International, Inc. and Maharashtra State Electricity Board, date 12 March 1999.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[There are some Enron Power Corp. guarantee agreements listed elsewhere in this Disclosure Letter which will be Related Party Contracts  if EPC does not get transferred.]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[Mary Joyce of HR to provide information on Retained Entities and expat contracts with India region expats]</w:t>
      </w:r>
    </w:p>
    <w:sectPr>
      <w:headerReference w:type="default" r:id="rId96"/>
      <w:headerReference w:type="first" r:id="rId97"/>
      <w:footerReference w:type="default" r:id="rId98"/>
      <w:footerReference w:type="first" r:id="rId99"/>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/mnt/main-storage/datasets/enron-docs/doc/00_India_Schedules.DOC</w:t>
    </w:r>
    <w:r>
      <w:rPr>
        <w:sz w:val="16"/>
      </w:rPr>
      <w:fldChar w:fldCharType="end"/>
    </w:r>
  </w:p>
  <w:p>
    <w:pPr>
      <w:pStyle w:val="Footer"/>
      <w:jc w:val="center"/>
      <w:rPr/>
    </w:pPr>
    <w:r>
      <w:rPr/>
      <w:t xml:space="preserve">Page </w:t>
    </w:r>
    <w:r>
      <w:rPr/>
      <w:fldChar w:fldCharType="begin"/>
    </w:r>
    <w:r>
      <w:rPr/>
      <w:instrText xml:space="preserve"> PAGE </w:instrText>
    </w:r>
    <w:r>
      <w:rPr/>
      <w:fldChar w:fldCharType="separate"/>
    </w:r>
    <w:r>
      <w:rPr/>
      <w:t>1</w:t>
    </w:r>
    <w:r>
      <w:rPr/>
      <w:fldChar w:fldCharType="end"/>
    </w:r>
    <w:r>
      <w:rPr/>
      <w:t xml:space="preserve"> of </w:t>
    </w:r>
    <w:r>
      <w:rPr/>
      <w:fldChar w:fldCharType="begin"/>
    </w:r>
    <w:r>
      <w:rPr/>
      <w:instrText xml:space="preserve"> NUMPAGES \* ARABIC </w:instrText>
    </w:r>
    <w:r>
      <w:rPr/>
      <w:fldChar w:fldCharType="separate"/>
    </w:r>
    <w:r>
      <w:rPr/>
      <w:t>51</w:t>
    </w:r>
    <w: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txbxContent>
              </v:textbox>
              <w10:wrap type="topAndBottom"/>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3"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txbxContent>
              </v:textbox>
              <w10:wrap type="topAndBottom"/>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txbxContent>
              </v:textbox>
              <w10:wrap type="topAndBottom"/>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4235" cy="177165"/>
              <wp:effectExtent l="0" t="0" r="0" b="0"/>
              <wp:wrapTopAndBottom/>
              <wp:docPr id="5"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txbxContent>
              </v:textbox>
              <w10:wrap type="topAndBottom"/>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4235" cy="177165"/>
              <wp:effectExtent l="0" t="0" r="0" b="0"/>
              <wp:wrapTopAndBottom/>
              <wp:docPr id="6" name="Frame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txbxContent>
              </v:textbox>
              <w10:wrap type="topAndBottom"/>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/mnt/main-storage/datasets/enron-docs/doc/00_India_Schedules.DOC</w:t>
    </w:r>
    <w:r>
      <w:rPr>
        <w:sz w:val="16"/>
      </w:rPr>
      <w:fldChar w:fldCharType="end"/>
    </w:r>
  </w:p>
  <w:p>
    <w:pPr>
      <w:pStyle w:val="Footer"/>
      <w:jc w:val="center"/>
      <w:rPr/>
    </w:pPr>
    <w:r>
      <w:rPr/>
      <w:t xml:space="preserve">Page </w:t>
    </w:r>
    <w:r>
      <w:rPr/>
      <w:fldChar w:fldCharType="begin"/>
    </w:r>
    <w:r>
      <w:rPr/>
      <w:instrText xml:space="preserve"> PAGE </w:instrText>
    </w:r>
    <w:r>
      <w:rPr/>
      <w:fldChar w:fldCharType="separate"/>
    </w:r>
    <w:r>
      <w:rPr/>
      <w:t>10</w:t>
    </w:r>
    <w:r>
      <w:rPr/>
      <w:fldChar w:fldCharType="end"/>
    </w:r>
    <w:r>
      <w:rPr/>
      <w:t xml:space="preserve"> of </w:t>
    </w:r>
    <w:r>
      <w:rPr/>
      <w:fldChar w:fldCharType="begin"/>
    </w:r>
    <w:r>
      <w:rPr/>
      <w:instrText xml:space="preserve"> NUMPAGES \* ARABIC </w:instrText>
    </w:r>
    <w:r>
      <w:rPr/>
      <w:fldChar w:fldCharType="separate"/>
    </w:r>
    <w:r>
      <w:rPr/>
      <w:t>51</w:t>
    </w:r>
    <w: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r>
      <mc:AlternateContent>
        <mc:Choice Requires="wps">
          <w:drawing>
            <wp:anchor behindDoc="0" distT="0" distB="0" distL="0" distR="0" simplePos="0" locked="0" layoutInCell="0" allowOverlap="1" relativeHeight="14">
              <wp:simplePos x="0" y="0"/>
              <wp:positionH relativeFrom="column">
                <wp:posOffset>635</wp:posOffset>
              </wp:positionH>
              <wp:positionV relativeFrom="paragraph">
                <wp:posOffset>635</wp:posOffset>
              </wp:positionV>
              <wp:extent cx="5944235" cy="177165"/>
              <wp:effectExtent l="0" t="0" r="0" b="0"/>
              <wp:wrapTopAndBottom/>
              <wp:docPr id="7"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txbxContent>
              </v:textbox>
              <w10:wrap type="topAndBottom"/>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r>
      <mc:AlternateContent>
        <mc:Choice Requires="wps">
          <w:drawing>
            <wp:anchor behindDoc="0" distT="0" distB="0" distL="0" distR="0" simplePos="0" locked="0" layoutInCell="0" allowOverlap="1" relativeHeight="15">
              <wp:simplePos x="0" y="0"/>
              <wp:positionH relativeFrom="column">
                <wp:posOffset>635</wp:posOffset>
              </wp:positionH>
              <wp:positionV relativeFrom="paragraph">
                <wp:posOffset>635</wp:posOffset>
              </wp:positionV>
              <wp:extent cx="5944235" cy="177165"/>
              <wp:effectExtent l="0" t="0" r="0" b="0"/>
              <wp:wrapTopAndBottom/>
              <wp:docPr id="8" name="Frame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txbxContent>
              </v:textbox>
              <w10:wrap type="topAndBottom"/>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r>
      <mc:AlternateContent>
        <mc:Choice Requires="wps">
          <w:drawing>
            <wp:anchor behindDoc="0" distT="0" distB="0" distL="0" distR="0" simplePos="0" locked="0" layoutInCell="0" allowOverlap="1" relativeHeight="16">
              <wp:simplePos x="0" y="0"/>
              <wp:positionH relativeFrom="column">
                <wp:posOffset>635</wp:posOffset>
              </wp:positionH>
              <wp:positionV relativeFrom="paragraph">
                <wp:posOffset>635</wp:posOffset>
              </wp:positionV>
              <wp:extent cx="5944235" cy="177165"/>
              <wp:effectExtent l="0" t="0" r="0" b="0"/>
              <wp:wrapTopAndBottom/>
              <wp:docPr id="9"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txbxContent>
              </v:textbox>
              <w10:wrap type="topAndBottom"/>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r>
      <mc:AlternateContent>
        <mc:Choice Requires="wps">
          <w:drawing>
            <wp:anchor behindDoc="0" distT="0" distB="0" distL="0" distR="0" simplePos="0" locked="0" layoutInCell="0" allowOverlap="1" relativeHeight="17">
              <wp:simplePos x="0" y="0"/>
              <wp:positionH relativeFrom="column">
                <wp:posOffset>635</wp:posOffset>
              </wp:positionH>
              <wp:positionV relativeFrom="paragraph">
                <wp:posOffset>635</wp:posOffset>
              </wp:positionV>
              <wp:extent cx="5944235" cy="177165"/>
              <wp:effectExtent l="0" t="0" r="0" b="0"/>
              <wp:wrapTopAndBottom/>
              <wp:docPr id="10" name="Frame1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txbxContent>
              </v:textbox>
              <w10:wrap type="topAndBottom"/>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r>
      <mc:AlternateContent>
        <mc:Choice Requires="wps">
          <w:drawing>
            <wp:anchor behindDoc="0" distT="0" distB="0" distL="0" distR="0" simplePos="0" locked="0" layoutInCell="0" allowOverlap="1" relativeHeight="28">
              <wp:simplePos x="0" y="0"/>
              <wp:positionH relativeFrom="column">
                <wp:posOffset>635</wp:posOffset>
              </wp:positionH>
              <wp:positionV relativeFrom="paragraph">
                <wp:posOffset>635</wp:posOffset>
              </wp:positionV>
              <wp:extent cx="5944235" cy="177165"/>
              <wp:effectExtent l="0" t="0" r="0" b="0"/>
              <wp:wrapTopAndBottom/>
              <wp:docPr id="11" name="Frame1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txbxContent>
              </v:textbox>
              <w10:wrap type="topAndBottom"/>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r>
      <mc:AlternateContent>
        <mc:Choice Requires="wps">
          <w:drawing>
            <wp:anchor behindDoc="0" distT="0" distB="0" distL="0" distR="0" simplePos="0" locked="0" layoutInCell="0" allowOverlap="1" relativeHeight="29">
              <wp:simplePos x="0" y="0"/>
              <wp:positionH relativeFrom="column">
                <wp:posOffset>635</wp:posOffset>
              </wp:positionH>
              <wp:positionV relativeFrom="paragraph">
                <wp:posOffset>635</wp:posOffset>
              </wp:positionV>
              <wp:extent cx="5944235" cy="177165"/>
              <wp:effectExtent l="0" t="0" r="0" b="0"/>
              <wp:wrapTopAndBottom/>
              <wp:docPr id="12" name="Frame1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txbxContent>
              </v:textbox>
              <w10:wrap type="topAndBottom"/>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r>
      <mc:AlternateContent>
        <mc:Choice Requires="wps">
          <w:drawing>
            <wp:anchor behindDoc="0" distT="0" distB="0" distL="0" distR="0" simplePos="0" locked="0" layoutInCell="0" allowOverlap="1" relativeHeight="30">
              <wp:simplePos x="0" y="0"/>
              <wp:positionH relativeFrom="column">
                <wp:posOffset>635</wp:posOffset>
              </wp:positionH>
              <wp:positionV relativeFrom="paragraph">
                <wp:posOffset>635</wp:posOffset>
              </wp:positionV>
              <wp:extent cx="5944235" cy="177165"/>
              <wp:effectExtent l="0" t="0" r="0" b="0"/>
              <wp:wrapTopAndBottom/>
              <wp:docPr id="13" name="Frame1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txbxContent>
              </v:textbox>
              <w10:wrap type="topAndBottom"/>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r>
      <mc:AlternateContent>
        <mc:Choice Requires="wps">
          <w:drawing>
            <wp:anchor behindDoc="0" distT="0" distB="0" distL="0" distR="0" simplePos="0" locked="0" layoutInCell="0" allowOverlap="1" relativeHeight="32">
              <wp:simplePos x="0" y="0"/>
              <wp:positionH relativeFrom="column">
                <wp:posOffset>635</wp:posOffset>
              </wp:positionH>
              <wp:positionV relativeFrom="paragraph">
                <wp:posOffset>635</wp:posOffset>
              </wp:positionV>
              <wp:extent cx="5944235" cy="177165"/>
              <wp:effectExtent l="0" t="0" r="0" b="0"/>
              <wp:wrapTopAndBottom/>
              <wp:docPr id="14" name="Frame1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txbxContent>
              </v:textbox>
              <w10:wrap type="topAndBottom"/>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r>
      <mc:AlternateContent>
        <mc:Choice Requires="wps">
          <w:drawing>
            <wp:anchor behindDoc="0" distT="0" distB="0" distL="0" distR="0" simplePos="0" locked="0" layoutInCell="0" allowOverlap="1" relativeHeight="33">
              <wp:simplePos x="0" y="0"/>
              <wp:positionH relativeFrom="column">
                <wp:posOffset>635</wp:posOffset>
              </wp:positionH>
              <wp:positionV relativeFrom="paragraph">
                <wp:posOffset>635</wp:posOffset>
              </wp:positionV>
              <wp:extent cx="5944235" cy="177165"/>
              <wp:effectExtent l="0" t="0" r="0" b="0"/>
              <wp:wrapTopAndBottom/>
              <wp:docPr id="15" name="Frame1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txbxContent>
              </v:textbox>
              <w10:wrap type="topAndBottom"/>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r>
      <mc:AlternateContent>
        <mc:Choice Requires="wps">
          <w:drawing>
            <wp:anchor behindDoc="0" distT="0" distB="0" distL="0" distR="0" simplePos="0" locked="0" layoutInCell="0" allowOverlap="1" relativeHeight="34">
              <wp:simplePos x="0" y="0"/>
              <wp:positionH relativeFrom="column">
                <wp:posOffset>635</wp:posOffset>
              </wp:positionH>
              <wp:positionV relativeFrom="paragraph">
                <wp:posOffset>635</wp:posOffset>
              </wp:positionV>
              <wp:extent cx="5944235" cy="177165"/>
              <wp:effectExtent l="0" t="0" r="0" b="0"/>
              <wp:wrapTopAndBottom/>
              <wp:docPr id="16" name="Frame1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txbxContent>
              </v:textbox>
              <w10:wrap type="topAndBottom"/>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/mnt/main-storage/datasets/enron-docs/doc/00_India_Schedules.DOC</w:t>
    </w:r>
    <w:r>
      <w:rPr>
        <w:sz w:val="16"/>
      </w:rPr>
      <w:fldChar w:fldCharType="end"/>
    </w:r>
  </w:p>
  <w:p>
    <w:pPr>
      <w:pStyle w:val="Footer"/>
      <w:jc w:val="center"/>
      <w:rPr/>
    </w:pPr>
    <w:r>
      <w:rPr/>
      <w:t xml:space="preserve">Page </w:t>
    </w:r>
    <w:r>
      <w:rPr/>
      <w:fldChar w:fldCharType="begin"/>
    </w:r>
    <w:r>
      <w:rPr/>
      <w:instrText xml:space="preserve"> PAGE </w:instrText>
    </w:r>
    <w:r>
      <w:rPr/>
      <w:fldChar w:fldCharType="separate"/>
    </w:r>
    <w:r>
      <w:rPr/>
      <w:t>12</w:t>
    </w:r>
    <w:r>
      <w:rPr/>
      <w:fldChar w:fldCharType="end"/>
    </w:r>
    <w:r>
      <w:rPr/>
      <w:t xml:space="preserve"> of </w:t>
    </w:r>
    <w:r>
      <w:rPr/>
      <w:fldChar w:fldCharType="begin"/>
    </w:r>
    <w:r>
      <w:rPr/>
      <w:instrText xml:space="preserve"> NUMPAGES \* ARABIC </w:instrText>
    </w:r>
    <w:r>
      <w:rPr/>
      <w:fldChar w:fldCharType="separate"/>
    </w:r>
    <w:r>
      <w:rPr/>
      <w:t>51</w:t>
    </w:r>
    <w:r>
      <w:rPr/>
      <w:fldChar w:fldCharType="end"/>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r>
      <mc:AlternateContent>
        <mc:Choice Requires="wps">
          <w:drawing>
            <wp:anchor behindDoc="0" distT="0" distB="0" distL="0" distR="0" simplePos="0" locked="0" layoutInCell="0" allowOverlap="1" relativeHeight="35">
              <wp:simplePos x="0" y="0"/>
              <wp:positionH relativeFrom="column">
                <wp:posOffset>635</wp:posOffset>
              </wp:positionH>
              <wp:positionV relativeFrom="paragraph">
                <wp:posOffset>635</wp:posOffset>
              </wp:positionV>
              <wp:extent cx="5944235" cy="177165"/>
              <wp:effectExtent l="0" t="0" r="0" b="0"/>
              <wp:wrapTopAndBottom/>
              <wp:docPr id="17" name="Frame1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txbxContent>
              </v:textbox>
              <w10:wrap type="topAndBottom"/>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r>
      <mc:AlternateContent>
        <mc:Choice Requires="wps">
          <w:drawing>
            <wp:anchor behindDoc="0" distT="0" distB="0" distL="0" distR="0" simplePos="0" locked="0" layoutInCell="0" allowOverlap="1" relativeHeight="36">
              <wp:simplePos x="0" y="0"/>
              <wp:positionH relativeFrom="column">
                <wp:posOffset>635</wp:posOffset>
              </wp:positionH>
              <wp:positionV relativeFrom="paragraph">
                <wp:posOffset>635</wp:posOffset>
              </wp:positionV>
              <wp:extent cx="5944235" cy="177165"/>
              <wp:effectExtent l="0" t="0" r="0" b="0"/>
              <wp:wrapTopAndBottom/>
              <wp:docPr id="18" name="Frame1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txbxContent>
              </v:textbox>
              <w10:wrap type="topAndBottom"/>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r>
      <mc:AlternateContent>
        <mc:Choice Requires="wps">
          <w:drawing>
            <wp:anchor behindDoc="0" distT="0" distB="0" distL="0" distR="0" simplePos="0" locked="0" layoutInCell="0" allowOverlap="1" relativeHeight="37">
              <wp:simplePos x="0" y="0"/>
              <wp:positionH relativeFrom="column">
                <wp:posOffset>635</wp:posOffset>
              </wp:positionH>
              <wp:positionV relativeFrom="paragraph">
                <wp:posOffset>635</wp:posOffset>
              </wp:positionV>
              <wp:extent cx="5944235" cy="177165"/>
              <wp:effectExtent l="0" t="0" r="0" b="0"/>
              <wp:wrapTopAndBottom/>
              <wp:docPr id="19" name="Frame1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txbxContent>
              </v:textbox>
              <w10:wrap type="topAndBottom"/>
            </v:rect>
          </w:pict>
        </mc:Fallback>
      </mc:AlternateConten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r>
      <mc:AlternateContent>
        <mc:Choice Requires="wps">
          <w:drawing>
            <wp:anchor behindDoc="0" distT="0" distB="0" distL="0" distR="0" simplePos="0" locked="0" layoutInCell="0" allowOverlap="1" relativeHeight="38">
              <wp:simplePos x="0" y="0"/>
              <wp:positionH relativeFrom="column">
                <wp:posOffset>635</wp:posOffset>
              </wp:positionH>
              <wp:positionV relativeFrom="paragraph">
                <wp:posOffset>635</wp:posOffset>
              </wp:positionV>
              <wp:extent cx="5944235" cy="177165"/>
              <wp:effectExtent l="0" t="0" r="0" b="0"/>
              <wp:wrapTopAndBottom/>
              <wp:docPr id="20" name="Frame2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txbxContent>
              </v:textbox>
              <w10:wrap type="topAndBottom"/>
            </v:rect>
          </w:pict>
        </mc:Fallback>
      </mc:AlternateConten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r>
      <mc:AlternateContent>
        <mc:Choice Requires="wps">
          <w:drawing>
            <wp:anchor behindDoc="0" distT="0" distB="0" distL="0" distR="0" simplePos="0" locked="0" layoutInCell="0" allowOverlap="1" relativeHeight="39">
              <wp:simplePos x="0" y="0"/>
              <wp:positionH relativeFrom="column">
                <wp:posOffset>635</wp:posOffset>
              </wp:positionH>
              <wp:positionV relativeFrom="paragraph">
                <wp:posOffset>635</wp:posOffset>
              </wp:positionV>
              <wp:extent cx="5944235" cy="177165"/>
              <wp:effectExtent l="0" t="0" r="0" b="0"/>
              <wp:wrapTopAndBottom/>
              <wp:docPr id="21" name="Frame2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txbxContent>
              </v:textbox>
              <w10:wrap type="topAndBottom"/>
            </v:rect>
          </w:pict>
        </mc:Fallback>
      </mc:AlternateConten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/mnt/main-storage/datasets/enron-docs/doc/00_India_Schedules.DOC</w:t>
    </w:r>
    <w:r>
      <w:rPr>
        <w:sz w:val="16"/>
      </w:rPr>
      <w:fldChar w:fldCharType="end"/>
    </w:r>
  </w:p>
  <w:p>
    <w:pPr>
      <w:pStyle w:val="Footer"/>
      <w:jc w:val="center"/>
      <w:rPr/>
    </w:pPr>
    <w:r>
      <w:rPr/>
      <w:t xml:space="preserve">Page </w:t>
    </w:r>
    <w:r>
      <w:rPr/>
      <w:fldChar w:fldCharType="begin"/>
    </w:r>
    <w:r>
      <w:rPr/>
      <w:instrText xml:space="preserve"> PAGE </w:instrText>
    </w:r>
    <w:r>
      <w:rPr/>
      <w:fldChar w:fldCharType="separate"/>
    </w:r>
    <w:r>
      <w:rPr/>
      <w:t>13</w:t>
    </w:r>
    <w:r>
      <w:rPr/>
      <w:fldChar w:fldCharType="end"/>
    </w:r>
    <w:r>
      <w:rPr/>
      <w:t xml:space="preserve"> of </w:t>
    </w:r>
    <w:r>
      <w:rPr/>
      <w:fldChar w:fldCharType="begin"/>
    </w:r>
    <w:r>
      <w:rPr/>
      <w:instrText xml:space="preserve"> NUMPAGES \* ARABIC </w:instrText>
    </w:r>
    <w:r>
      <w:rPr/>
      <w:fldChar w:fldCharType="separate"/>
    </w:r>
    <w:r>
      <w:rPr/>
      <w:t>51</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r>
  </w:p>
  <w:p>
    <w:pPr>
      <w:pStyle w:val="Normal"/>
      <w:spacing w:lineRule="exact" w:line="24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r>
  </w:p>
  <w:p>
    <w:pPr>
      <w:pStyle w:val="Normal"/>
      <w:spacing w:lineRule="exact" w:line="252"/>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r>
  </w:p>
  <w:p>
    <w:pPr>
      <w:pStyle w:val="Normal"/>
      <w:spacing w:lineRule="exact" w:line="252"/>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r>
  </w:p>
  <w:p>
    <w:pPr>
      <w:pStyle w:val="Normal"/>
      <w:spacing w:lineRule="exact" w:line="252"/>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r>
  </w:p>
  <w:p>
    <w:pPr>
      <w:pStyle w:val="Normal"/>
      <w:spacing w:lineRule="exact" w:line="252"/>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r>
  </w:p>
  <w:p>
    <w:pPr>
      <w:pStyle w:val="Normal"/>
      <w:spacing w:lineRule="exact" w:line="240"/>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r>
  </w:p>
  <w:p>
    <w:pPr>
      <w:pStyle w:val="Normal"/>
      <w:spacing w:lineRule="exact" w:line="252"/>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r>
  </w:p>
  <w:p>
    <w:pPr>
      <w:pStyle w:val="Normal"/>
      <w:spacing w:lineRule="exact" w:line="252"/>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r>
  </w:p>
  <w:p>
    <w:pPr>
      <w:pStyle w:val="Normal"/>
      <w:spacing w:lineRule="exact" w:line="252"/>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r>
  </w:p>
  <w:p>
    <w:pPr>
      <w:pStyle w:val="Normal"/>
      <w:spacing w:lineRule="exact" w:line="252"/>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r>
  </w:p>
  <w:p>
    <w:pPr>
      <w:pStyle w:val="Normal"/>
      <w:spacing w:lineRule="exact" w:line="252"/>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r>
  </w:p>
  <w:p>
    <w:pPr>
      <w:pStyle w:val="Normal"/>
      <w:spacing w:lineRule="exact" w:line="252"/>
      <w:rPr/>
    </w:pPr>
    <w:r>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r>
  </w:p>
  <w:p>
    <w:pPr>
      <w:pStyle w:val="Normal"/>
      <w:spacing w:lineRule="exact" w:line="252"/>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r>
  </w:p>
  <w:p>
    <w:pPr>
      <w:pStyle w:val="Normal"/>
      <w:spacing w:lineRule="exact" w:line="252"/>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r>
  </w:p>
  <w:p>
    <w:pPr>
      <w:pStyle w:val="Normal"/>
      <w:spacing w:lineRule="exact" w:line="252"/>
      <w:rPr/>
    </w:pPr>
    <w:r>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r>
  </w:p>
  <w:p>
    <w:pPr>
      <w:pStyle w:val="Normal"/>
      <w:spacing w:lineRule="exact" w:line="252"/>
      <w:rPr/>
    </w:pPr>
    <w:r>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r>
  </w:p>
  <w:p>
    <w:pPr>
      <w:pStyle w:val="Normal"/>
      <w:spacing w:lineRule="exact" w:line="240"/>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r>
  </w:p>
  <w:p>
    <w:pPr>
      <w:pStyle w:val="Normal"/>
      <w:spacing w:lineRule="exact" w:line="252"/>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r>
  </w:p>
  <w:p>
    <w:pPr>
      <w:pStyle w:val="Normal"/>
      <w:spacing w:lineRule="exact" w:line="252"/>
      <w:rPr/>
    </w:pPr>
    <w:r>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r>
  </w:p>
  <w:p>
    <w:pPr>
      <w:pStyle w:val="Normal"/>
      <w:spacing w:lineRule="exact" w:line="252"/>
      <w:rPr/>
    </w:pPr>
    <w:r>
      <w:rPr/>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r>
  </w:p>
  <w:p>
    <w:pPr>
      <w:pStyle w:val="Normal"/>
      <w:spacing w:lineRule="exact" w:line="252"/>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r>
  </w:p>
  <w:p>
    <w:pPr>
      <w:pStyle w:val="Normal"/>
      <w:spacing w:lineRule="exact" w:line="252"/>
      <w:rPr/>
    </w:pPr>
    <w:r>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r>
  </w:p>
  <w:p>
    <w:pPr>
      <w:pStyle w:val="Normal"/>
      <w:spacing w:lineRule="exact" w:line="24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r>
  </w:p>
  <w:p>
    <w:pPr>
      <w:pStyle w:val="Normal"/>
      <w:spacing w:lineRule="exact" w:line="24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3">
    <w:lvl w:ilvl="0">
      <w:start w:val="1"/>
      <w:numFmt w:val="upperLetter"/>
      <w:lvlText w:val="(%1)"/>
      <w:lvlJc w:val="start"/>
      <w:pPr>
        <w:tabs>
          <w:tab w:val="num" w:pos="567"/>
        </w:tabs>
        <w:ind w:start="567" w:hanging="567"/>
      </w:pPr>
      <w:rPr>
        <w:sz w:val="20"/>
        <w:i w:val="false"/>
        <w:b w:val="false"/>
        <w:rFonts w:ascii="Arial" w:hAnsi="Arial" w:cs="Arial"/>
      </w:rPr>
    </w:lvl>
  </w:abstractNum>
  <w:abstractNum w:abstractNumId="4">
    <w:lvl w:ilvl="0">
      <w:start w:val="1"/>
      <w:numFmt w:val="lowerLetter"/>
      <w:lvlText w:val="(%1)"/>
      <w:lvlJc w:val="start"/>
      <w:pPr>
        <w:tabs>
          <w:tab w:val="num" w:pos="2722"/>
        </w:tabs>
        <w:ind w:start="2722" w:hanging="681"/>
      </w:pPr>
      <w:rPr>
        <w:sz w:val="20"/>
        <w:i w:val="false"/>
        <w:b w:val="false"/>
        <w:rFonts w:ascii="Arial" w:hAnsi="Arial" w:cs="Arial"/>
      </w:rPr>
    </w:lvl>
  </w:abstractNum>
  <w:abstractNum w:abstractNumId="5">
    <w:lvl w:ilvl="0">
      <w:start w:val="1"/>
      <w:numFmt w:val="bullet"/>
      <w:lvlText w:val=""/>
      <w:lvlJc w:val="start"/>
      <w:pPr>
        <w:tabs>
          <w:tab w:val="num" w:pos="3969"/>
        </w:tabs>
        <w:ind w:start="3969" w:hanging="680"/>
      </w:pPr>
      <w:rPr>
        <w:rFonts w:ascii="Symbol" w:hAnsi="Symbol" w:cs="Symbol" w:hint="default"/>
      </w:rPr>
    </w:lvl>
  </w:abstractNum>
  <w:abstractNum w:abstractNumId="6">
    <w:lvl w:ilvl="0">
      <w:start w:val="2"/>
      <w:numFmt w:val="decimal"/>
      <w:lvlText w:val="ARTICLE %1"/>
      <w:lvlJc w:val="start"/>
      <w:pPr>
        <w:tabs>
          <w:tab w:val="num" w:pos="1418"/>
        </w:tabs>
        <w:ind w:start="1418" w:hanging="1418"/>
      </w:pPr>
      <w:rPr>
        <w:i w:val="false"/>
        <w:b/>
      </w:rPr>
    </w:lvl>
    <w:lvl w:ilvl="1">
      <w:start w:val="1"/>
      <w:numFmt w:val="decimal"/>
      <w:lvlText w:val="%1.%2"/>
      <w:lvlJc w:val="start"/>
      <w:pPr>
        <w:tabs>
          <w:tab w:val="num" w:pos="851"/>
        </w:tabs>
        <w:ind w:start="851" w:hanging="851"/>
      </w:pPr>
      <w:rPr>
        <w:i w:val="false"/>
        <w:b/>
      </w:rPr>
    </w:lvl>
    <w:lvl w:ilvl="2">
      <w:start w:val="1"/>
      <w:numFmt w:val="decimal"/>
      <w:lvlText w:val="%1.%2.%3"/>
      <w:lvlJc w:val="start"/>
      <w:pPr>
        <w:tabs>
          <w:tab w:val="num" w:pos="851"/>
        </w:tabs>
        <w:ind w:start="851" w:hanging="851"/>
      </w:pPr>
    </w:lvl>
    <w:lvl w:ilvl="3">
      <w:start w:val="1"/>
      <w:numFmt w:val="none"/>
      <w:suff w:val="nothing"/>
      <w:lvlText w:val=""/>
      <w:lvlJc w:val="start"/>
      <w:pPr>
        <w:tabs>
          <w:tab w:val="num" w:pos="360"/>
        </w:tabs>
        <w:ind w:start="32767" w:firstLine="32767"/>
      </w:pPr>
    </w:lvl>
    <w:lvl w:ilvl="4">
      <w:start w:val="1"/>
      <w:numFmt w:val="none"/>
      <w:suff w:val="nothing"/>
      <w:lvlText w:val=""/>
      <w:lvlJc w:val="start"/>
      <w:pPr>
        <w:ind w:start="32767" w:hanging="0"/>
      </w:pPr>
    </w:lvl>
    <w:lvl w:ilvl="5">
      <w:start w:val="1"/>
      <w:numFmt w:val="none"/>
      <w:suff w:val="nothing"/>
      <w:lvlText w:val=""/>
      <w:lvlJc w:val="start"/>
      <w:pPr>
        <w:ind w:start="32767" w:hanging="0"/>
      </w:pPr>
    </w:lvl>
    <w:lvl w:ilvl="6">
      <w:start w:val="1"/>
      <w:numFmt w:val="none"/>
      <w:suff w:val="nothing"/>
      <w:lvlText w:val="%1"/>
      <w:lvlJc w:val="start"/>
      <w:pPr>
        <w:ind w:start="32767" w:hanging="0"/>
      </w:pPr>
    </w:lvl>
    <w:lvl w:ilvl="7">
      <w:start w:val="1"/>
      <w:numFmt w:val="none"/>
      <w:suff w:val="nothing"/>
      <w:lvlText w:val=""/>
      <w:lvlJc w:val="start"/>
      <w:pPr>
        <w:tabs>
          <w:tab w:val="num" w:pos="360"/>
        </w:tabs>
        <w:ind w:start="32767" w:firstLine="32767"/>
      </w:pPr>
    </w:lvl>
    <w:lvl w:ilvl="8">
      <w:start w:val="1"/>
      <w:numFmt w:val="none"/>
      <w:suff w:val="nothing"/>
      <w:lvlText w:val=""/>
      <w:lvlJc w:val="start"/>
      <w:pPr>
        <w:ind w:start="32767" w:hanging="0"/>
      </w:pPr>
    </w:lvl>
  </w:abstractNum>
  <w:abstractNum w:abstractNumId="7">
    <w:lvl w:ilvl="0">
      <w:start w:val="1"/>
      <w:numFmt w:val="bullet"/>
      <w:lvlText w:val=""/>
      <w:lvlJc w:val="start"/>
      <w:pPr>
        <w:tabs>
          <w:tab w:val="num" w:pos="567"/>
        </w:tabs>
        <w:ind w:start="567" w:hanging="567"/>
      </w:pPr>
      <w:rPr>
        <w:rFonts w:ascii="Symbol" w:hAnsi="Symbol" w:cs="Symbol" w:hint="default"/>
      </w:rPr>
    </w:lvl>
  </w:abstractNum>
  <w:abstractNum w:abstractNumId="8">
    <w:lvl w:ilvl="0">
      <w:start w:val="1"/>
      <w:numFmt w:val="decimal"/>
      <w:lvlText w:val="(%1)"/>
      <w:lvlJc w:val="start"/>
      <w:pPr>
        <w:tabs>
          <w:tab w:val="num" w:pos="567"/>
        </w:tabs>
        <w:ind w:start="567" w:hanging="567"/>
      </w:pPr>
      <w:rPr>
        <w:sz w:val="20"/>
        <w:i w:val="false"/>
        <w:b/>
      </w:rPr>
    </w:lvl>
  </w:abstractNum>
  <w:abstractNum w:abstractNumId="9">
    <w:lvl w:ilvl="0">
      <w:start w:val="1"/>
      <w:numFmt w:val="lowerLetter"/>
      <w:lvlText w:val="(%1)"/>
      <w:lvlJc w:val="start"/>
      <w:pPr>
        <w:tabs>
          <w:tab w:val="num" w:pos="1985"/>
        </w:tabs>
        <w:ind w:start="1985" w:hanging="567"/>
      </w:pPr>
      <w:rPr>
        <w:sz w:val="20"/>
        <w:i w:val="false"/>
        <w:b w:val="false"/>
        <w:rFonts w:ascii="Arial" w:hAnsi="Arial" w:cs="Arial"/>
      </w:rPr>
    </w:lvl>
  </w:abstractNum>
  <w:abstractNum w:abstractNumId="10">
    <w:lvl w:ilvl="0">
      <w:start w:val="1"/>
      <w:numFmt w:val="bullet"/>
      <w:lvlText w:val=""/>
      <w:lvlJc w:val="start"/>
      <w:pPr>
        <w:tabs>
          <w:tab w:val="num" w:pos="2722"/>
        </w:tabs>
        <w:ind w:start="2722" w:hanging="681"/>
      </w:pPr>
      <w:rPr>
        <w:rFonts w:ascii="Symbol" w:hAnsi="Symbol" w:cs="Symbol" w:hint="default"/>
      </w:rPr>
    </w:lvl>
  </w:abstractNum>
  <w:abstractNum w:abstractNumId="11">
    <w:lvl w:ilvl="0">
      <w:start w:val="1"/>
      <w:numFmt w:val="bullet"/>
      <w:lvlText w:val=""/>
      <w:lvlJc w:val="start"/>
      <w:pPr>
        <w:tabs>
          <w:tab w:val="num" w:pos="1985"/>
        </w:tabs>
        <w:ind w:start="1985" w:hanging="567"/>
      </w:pPr>
      <w:rPr>
        <w:rFonts w:ascii="Symbol" w:hAnsi="Symbol" w:cs="Symbol" w:hint="default"/>
      </w:rPr>
    </w:lvl>
  </w:abstractNum>
  <w:abstractNum w:abstractNumId="12">
    <w:lvl w:ilvl="0">
      <w:start w:val="1"/>
      <w:numFmt w:val="lowerLetter"/>
      <w:lvlText w:val="(%1)"/>
      <w:lvlJc w:val="start"/>
      <w:pPr>
        <w:tabs>
          <w:tab w:val="num" w:pos="2041"/>
        </w:tabs>
        <w:ind w:start="2041" w:hanging="794"/>
      </w:pPr>
      <w:rPr>
        <w:sz w:val="20"/>
        <w:i w:val="false"/>
        <w:b w:val="false"/>
        <w:rFonts w:ascii="Arial" w:hAnsi="Arial" w:cs="Arial"/>
      </w:rPr>
    </w:lvl>
  </w:abstractNum>
  <w:abstractNum w:abstractNumId="13">
    <w:lvl w:ilvl="0">
      <w:start w:val="1"/>
      <w:numFmt w:val="bullet"/>
      <w:lvlText w:val=""/>
      <w:lvlJc w:val="start"/>
      <w:pPr>
        <w:tabs>
          <w:tab w:val="num" w:pos="2041"/>
        </w:tabs>
        <w:ind w:start="2041" w:hanging="794"/>
      </w:pPr>
      <w:rPr>
        <w:rFonts w:ascii="Symbol" w:hAnsi="Symbol" w:cs="Symbol" w:hint="default"/>
      </w:rPr>
    </w:lvl>
  </w:abstractNum>
  <w:abstractNum w:abstractNumId="14">
    <w:lvl w:ilvl="0">
      <w:start w:val="1"/>
      <w:numFmt w:val="lowerLetter"/>
      <w:lvlText w:val="(%1)"/>
      <w:lvlJc w:val="start"/>
      <w:pPr>
        <w:tabs>
          <w:tab w:val="num" w:pos="3969"/>
        </w:tabs>
        <w:ind w:start="3969" w:hanging="680"/>
      </w:pPr>
      <w:rPr>
        <w:sz w:val="20"/>
        <w:i w:val="false"/>
        <w:b w:val="false"/>
        <w:rFonts w:ascii="Arial" w:hAnsi="Arial" w:cs="Arial"/>
      </w:rPr>
    </w:lvl>
  </w:abstractNum>
  <w:abstractNum w:abstractNumId="15">
    <w:lvl w:ilvl="0">
      <w:start w:val="1"/>
      <w:numFmt w:val="decimal"/>
      <w:lvlText w:val="%1"/>
      <w:lvlJc w:val="start"/>
      <w:pPr>
        <w:tabs>
          <w:tab w:val="num" w:pos="567"/>
        </w:tabs>
        <w:ind w:start="567" w:hanging="567"/>
      </w:pPr>
      <w:rPr>
        <w:sz w:val="22"/>
        <w:i w:val="false"/>
        <w:b/>
        <w:rFonts w:ascii="Arial" w:hAnsi="Arial" w:cs="Arial"/>
      </w:rPr>
    </w:lvl>
    <w:lvl w:ilvl="1">
      <w:start w:val="1"/>
      <w:numFmt w:val="lowerLetter"/>
      <w:lvlText w:val="(%2)"/>
      <w:lvlJc w:val="start"/>
      <w:pPr>
        <w:tabs>
          <w:tab w:val="num" w:pos="1247"/>
        </w:tabs>
        <w:ind w:start="1247" w:hanging="680"/>
      </w:pPr>
      <w:rPr>
        <w:sz w:val="20"/>
        <w:i w:val="false"/>
        <w:b w:val="false"/>
        <w:rFonts w:ascii="Arial" w:hAnsi="Arial" w:cs="Arial"/>
      </w:rPr>
    </w:lvl>
    <w:lvl w:ilvl="2">
      <w:start w:val="1"/>
      <w:numFmt w:val="lowerRoman"/>
      <w:lvlText w:val="(%3)"/>
      <w:lvlJc w:val="start"/>
      <w:pPr>
        <w:tabs>
          <w:tab w:val="num" w:pos="2041"/>
        </w:tabs>
        <w:ind w:start="2041" w:hanging="794"/>
      </w:pPr>
      <w:rPr>
        <w:sz w:val="20"/>
        <w:i w:val="false"/>
        <w:b w:val="false"/>
        <w:rFonts w:ascii="Arial" w:hAnsi="Arial" w:cs="Arial"/>
      </w:rPr>
    </w:lvl>
    <w:lvl w:ilvl="3">
      <w:start w:val="1"/>
      <w:numFmt w:val="upperLetter"/>
      <w:lvlText w:val="(%4)"/>
      <w:lvlJc w:val="start"/>
      <w:pPr>
        <w:tabs>
          <w:tab w:val="num" w:pos="2722"/>
        </w:tabs>
        <w:ind w:start="2722" w:hanging="681"/>
      </w:pPr>
      <w:rPr>
        <w:sz w:val="20"/>
        <w:i w:val="false"/>
        <w:b w:val="false"/>
        <w:rFonts w:ascii="Arial" w:hAnsi="Arial" w:cs="Arial"/>
      </w:rPr>
    </w:lvl>
    <w:lvl w:ilvl="4">
      <w:start w:val="1"/>
      <w:numFmt w:val="none"/>
      <w:suff w:val="nothing"/>
      <w:lvlText w:val=""/>
      <w:lvlJc w:val="start"/>
      <w:pPr>
        <w:tabs>
          <w:tab w:val="num" w:pos="2608"/>
        </w:tabs>
        <w:ind w:start="2608" w:hanging="567"/>
      </w:pPr>
    </w:lvl>
    <w:lvl w:ilvl="5">
      <w:start w:val="1"/>
      <w:numFmt w:val="none"/>
      <w:suff w:val="nothing"/>
      <w:lvlText w:val=""/>
      <w:lvlJc w:val="start"/>
      <w:pPr>
        <w:tabs>
          <w:tab w:val="num" w:pos="3289"/>
        </w:tabs>
        <w:ind w:start="3289" w:hanging="681"/>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16">
    <w:lvl w:ilvl="0">
      <w:start w:val="1"/>
      <w:numFmt w:val="bullet"/>
      <w:lvlText w:val=""/>
      <w:lvlJc w:val="start"/>
      <w:pPr>
        <w:tabs>
          <w:tab w:val="num" w:pos="3289"/>
        </w:tabs>
        <w:ind w:start="3289" w:hanging="567"/>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lowerLetter"/>
      <w:lvlText w:val="(%1)"/>
      <w:lvlJc w:val="start"/>
      <w:pPr>
        <w:tabs>
          <w:tab w:val="num" w:pos="3289"/>
        </w:tabs>
        <w:ind w:start="3289" w:hanging="567"/>
      </w:pPr>
      <w:rPr>
        <w:sz w:val="20"/>
        <w:i w:val="false"/>
        <w:b w:val="false"/>
        <w:rFonts w:ascii="Arial" w:hAnsi="Arial" w:cs="Arial"/>
      </w:rPr>
    </w:lvl>
  </w:abstractNum>
  <w:abstractNum w:abstractNumId="19">
    <w:lvl w:ilvl="0">
      <w:start w:val="1"/>
      <w:numFmt w:val="decimal"/>
      <w:lvlText w:val="%1"/>
      <w:lvlJc w:val="start"/>
      <w:pPr>
        <w:tabs>
          <w:tab w:val="num" w:pos="851"/>
        </w:tabs>
        <w:ind w:start="851" w:hanging="851"/>
      </w:pPr>
      <w:rPr>
        <w:sz w:val="20"/>
        <w:i w:val="false"/>
        <w:b/>
        <w:rFonts w:ascii="Arial" w:hAnsi="Arial" w:cs="Arial"/>
      </w:rPr>
    </w:lvl>
    <w:lvl w:ilvl="1">
      <w:start w:val="1"/>
      <w:numFmt w:val="decimal"/>
      <w:lvlText w:val="%1.%2"/>
      <w:lvlJc w:val="start"/>
      <w:pPr>
        <w:tabs>
          <w:tab w:val="num" w:pos="851"/>
        </w:tabs>
        <w:ind w:start="851" w:hanging="851"/>
      </w:pPr>
      <w:rPr>
        <w:sz w:val="19"/>
        <w:i w:val="false"/>
        <w:b/>
        <w:rFonts w:ascii="Arial" w:hAnsi="Arial" w:cs="Arial"/>
      </w:rPr>
    </w:lvl>
    <w:lvl w:ilvl="2">
      <w:start w:val="1"/>
      <w:numFmt w:val="decimal"/>
      <w:lvlText w:val="%1.%2.%3"/>
      <w:lvlJc w:val="start"/>
      <w:pPr>
        <w:tabs>
          <w:tab w:val="num" w:pos="850"/>
        </w:tabs>
        <w:ind w:start="850" w:hanging="850"/>
      </w:pPr>
      <w:rPr>
        <w:sz w:val="17"/>
        <w:i w:val="false"/>
        <w:b w:val="false"/>
        <w:rFonts w:ascii="Arial" w:hAnsi="Arial" w:cs="Arial"/>
      </w:rPr>
    </w:lvl>
    <w:lvl w:ilvl="3">
      <w:start w:val="1"/>
      <w:numFmt w:val="lowerLetter"/>
      <w:lvlText w:val="(%4)"/>
      <w:lvlJc w:val="start"/>
      <w:pPr>
        <w:tabs>
          <w:tab w:val="num" w:pos="1418"/>
        </w:tabs>
        <w:ind w:start="1418" w:hanging="567"/>
      </w:pPr>
    </w:lvl>
    <w:lvl w:ilvl="4">
      <w:start w:val="1"/>
      <w:numFmt w:val="decimal"/>
      <w:lvlText w:val="(%5)"/>
      <w:lvlJc w:val="start"/>
      <w:pPr>
        <w:tabs>
          <w:tab w:val="num" w:pos="1985"/>
        </w:tabs>
        <w:ind w:start="1985" w:hanging="567"/>
      </w:pPr>
    </w:lvl>
    <w:lvl w:ilvl="5">
      <w:start w:val="1"/>
      <w:numFmt w:val="upperRoman"/>
      <w:lvlText w:val="(%6)"/>
      <w:lvlJc w:val="start"/>
      <w:pPr>
        <w:ind w:start="32767" w:hanging="0"/>
      </w:pPr>
      <w:rPr>
        <w:sz w:val="17"/>
        <w:i w:val="false"/>
        <w:b w:val="false"/>
        <w:rFonts w:ascii="Arial" w:hAnsi="Arial" w:cs="Arial"/>
      </w:r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20">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21">
    <w:lvl w:ilvl="0">
      <w:start w:val="1"/>
      <w:numFmt w:val="bullet"/>
      <w:lvlText w:val=""/>
      <w:lvlJc w:val="start"/>
      <w:pPr>
        <w:tabs>
          <w:tab w:val="num" w:pos="1418"/>
        </w:tabs>
        <w:ind w:start="1418" w:hanging="567"/>
      </w:pPr>
      <w:rPr>
        <w:rFonts w:ascii="Symbol" w:hAnsi="Symbol" w:cs="Symbol" w:hint="default"/>
      </w:rPr>
    </w:lvl>
  </w:abstractNum>
  <w:abstractNum w:abstractNumId="22">
    <w:lvl w:ilvl="0">
      <w:start w:val="1"/>
      <w:numFmt w:val="upperLetter"/>
      <w:lvlText w:val="[%1]"/>
      <w:lvlJc w:val="start"/>
      <w:pPr>
        <w:tabs>
          <w:tab w:val="num" w:pos="851"/>
        </w:tabs>
        <w:ind w:start="851" w:hanging="851"/>
      </w:pPr>
      <w:rPr>
        <w:sz w:val="20"/>
        <w:i w:val="false"/>
        <w:b w:val="false"/>
        <w:rFonts w:ascii="Arial" w:hAnsi="Arial" w:cs="Arial"/>
      </w:rPr>
    </w:lvl>
  </w:abstractNum>
  <w:abstractNum w:abstractNumId="23">
    <w:lvl w:ilvl="0">
      <w:start w:val="1"/>
      <w:numFmt w:val="lowerRoman"/>
      <w:lvlText w:val="(%1)"/>
      <w:lvlJc w:val="start"/>
      <w:pPr>
        <w:tabs>
          <w:tab w:val="num" w:pos="2722"/>
        </w:tabs>
        <w:ind w:start="2722" w:hanging="681"/>
      </w:pPr>
      <w:rPr>
        <w:sz w:val="20"/>
        <w:i w:val="false"/>
        <w:b w:val="false"/>
        <w:rFonts w:ascii="Arial" w:hAnsi="Arial" w:cs="Arial"/>
      </w:rPr>
    </w:lvl>
  </w:abstractNum>
  <w:abstractNum w:abstractNumId="24">
    <w:lvl w:ilvl="0">
      <w:start w:val="1"/>
      <w:numFmt w:val="lowerRoman"/>
      <w:lvlText w:val="(%1)"/>
      <w:lvlJc w:val="start"/>
      <w:pPr>
        <w:tabs>
          <w:tab w:val="num" w:pos="2138"/>
        </w:tabs>
        <w:ind w:start="1985" w:hanging="567"/>
      </w:pPr>
      <w:rPr>
        <w:sz w:val="20"/>
        <w:i w:val="false"/>
        <w:b w:val="false"/>
        <w:rFonts w:ascii="Arial" w:hAnsi="Arial" w:cs="Arial"/>
      </w:rPr>
    </w:lvl>
  </w:abstractNum>
  <w:abstractNum w:abstractNumId="25">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6">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7">
    <w:lvl w:ilvl="0">
      <w:start w:val="1"/>
      <w:numFmt w:val="bullet"/>
      <w:lvlText w:val=""/>
      <w:lvlJc w:val="start"/>
      <w:pPr>
        <w:tabs>
          <w:tab w:val="num" w:pos="1247"/>
        </w:tabs>
        <w:ind w:start="1247" w:hanging="680"/>
      </w:pPr>
      <w:rPr>
        <w:rFonts w:ascii="Symbol" w:hAnsi="Symbol" w:cs="Symbol" w:hint="default"/>
      </w:rPr>
    </w:lvl>
  </w:abstractNum>
  <w:abstractNum w:abstractNumId="28">
    <w:lvl w:ilvl="0">
      <w:start w:val="1"/>
      <w:numFmt w:val="lowerRoman"/>
      <w:lvlText w:val="(%1)"/>
      <w:lvlJc w:val="start"/>
      <w:pPr>
        <w:tabs>
          <w:tab w:val="num" w:pos="2041"/>
        </w:tabs>
        <w:ind w:start="2041" w:hanging="794"/>
      </w:pPr>
      <w:rPr>
        <w:sz w:val="20"/>
        <w:i w:val="false"/>
        <w:b w:val="false"/>
        <w:rFonts w:ascii="Arial" w:hAnsi="Arial" w:cs="Arial"/>
      </w:rPr>
    </w:lvl>
  </w:abstractNum>
  <w:abstractNum w:abstractNumId="29">
    <w:lvl w:ilvl="0">
      <w:start w:val="1"/>
      <w:numFmt w:val="decimal"/>
      <w:lvlText w:val="ARTICLE %1er"/>
      <w:lvlJc w:val="start"/>
      <w:pPr>
        <w:tabs>
          <w:tab w:val="num" w:pos="1418"/>
        </w:tabs>
        <w:ind w:start="1418" w:hanging="1418"/>
      </w:pPr>
      <w:rPr>
        <w:i w:val="false"/>
        <w:b/>
      </w:rPr>
    </w:lvl>
    <w:lvl w:ilvl="1">
      <w:start w:val="1"/>
      <w:numFmt w:val="decimal"/>
      <w:lvlText w:val="%1.%2"/>
      <w:lvlJc w:val="start"/>
      <w:pPr>
        <w:tabs>
          <w:tab w:val="num" w:pos="851"/>
        </w:tabs>
        <w:ind w:start="851" w:hanging="851"/>
      </w:pPr>
      <w:rPr>
        <w:i w:val="false"/>
        <w:b/>
      </w:rPr>
    </w:lvl>
    <w:lvl w:ilvl="2">
      <w:start w:val="1"/>
      <w:numFmt w:val="decimal"/>
      <w:lvlText w:val="%1.%2.%3"/>
      <w:lvlJc w:val="start"/>
      <w:pPr>
        <w:tabs>
          <w:tab w:val="num" w:pos="851"/>
        </w:tabs>
        <w:ind w:start="851" w:hanging="851"/>
      </w:pPr>
    </w:lvl>
    <w:lvl w:ilvl="3">
      <w:start w:val="1"/>
      <w:numFmt w:val="none"/>
      <w:suff w:val="nothing"/>
      <w:lvlText w:val=""/>
      <w:lvlJc w:val="start"/>
      <w:pPr>
        <w:ind w:start="32767" w:hanging="0"/>
      </w:pPr>
    </w:lvl>
    <w:lvl w:ilvl="4">
      <w:start w:val="1"/>
      <w:numFmt w:val="none"/>
      <w:suff w:val="nothing"/>
      <w:lvlText w:val=""/>
      <w:lvlJc w:val="start"/>
      <w:pPr>
        <w:ind w:start="32767" w:hanging="0"/>
      </w:pPr>
    </w:lvl>
    <w:lvl w:ilvl="5">
      <w:start w:val="1"/>
      <w:numFmt w:val="none"/>
      <w:suff w:val="nothing"/>
      <w:lvlText w:val=""/>
      <w:lvlJc w:val="start"/>
      <w:pPr>
        <w:ind w:start="32767" w:hanging="0"/>
      </w:pPr>
    </w:lvl>
    <w:lvl w:ilvl="6">
      <w:start w:val="1"/>
      <w:numFmt w:val="none"/>
      <w:suff w:val="nothing"/>
      <w:lvlText w:val=""/>
      <w:lvlJc w:val="start"/>
      <w:pPr>
        <w:tabs>
          <w:tab w:val="num" w:pos="360"/>
        </w:tabs>
        <w:ind w:start="32767" w:firstLine="32767"/>
      </w:pPr>
    </w:lvl>
    <w:lvl w:ilvl="7">
      <w:start w:val="1"/>
      <w:numFmt w:val="none"/>
      <w:suff w:val="nothing"/>
      <w:lvlText w:val=""/>
      <w:lvlJc w:val="start"/>
      <w:pPr>
        <w:ind w:start="32767" w:hanging="0"/>
      </w:pPr>
    </w:lvl>
    <w:lvl w:ilvl="8">
      <w:start w:val="1"/>
      <w:numFmt w:val="none"/>
      <w:suff w:val="nothing"/>
      <w:lvlText w:val=""/>
      <w:lvlJc w:val="start"/>
      <w:pPr>
        <w:ind w:start="32767" w:hanging="0"/>
      </w:pPr>
    </w:lvl>
  </w:abstractNum>
  <w:abstractNum w:abstractNumId="30">
    <w:lvl w:ilvl="0">
      <w:start w:val="1"/>
      <w:numFmt w:val="decimal"/>
      <w:lvlText w:val="(%1)"/>
      <w:lvlJc w:val="start"/>
      <w:pPr>
        <w:tabs>
          <w:tab w:val="num" w:pos="567"/>
        </w:tabs>
        <w:ind w:start="567" w:hanging="567"/>
      </w:pPr>
      <w:rPr>
        <w:sz w:val="20"/>
        <w:i w:val="false"/>
        <w:b/>
        <w:rFonts w:ascii="Arial" w:hAnsi="Arial" w:cs="Arial"/>
      </w:rPr>
    </w:lvl>
  </w:abstractNum>
  <w:abstractNum w:abstractNumId="31">
    <w:lvl w:ilvl="0">
      <w:start w:val="1"/>
      <w:numFmt w:val="lowerRoman"/>
      <w:lvlText w:val="(%1)"/>
      <w:lvlJc w:val="start"/>
      <w:pPr>
        <w:tabs>
          <w:tab w:val="num" w:pos="3969"/>
        </w:tabs>
        <w:ind w:start="3969" w:hanging="680"/>
      </w:pPr>
      <w:rPr>
        <w:sz w:val="20"/>
        <w:i w:val="false"/>
        <w:b w:val="false"/>
        <w:rFonts w:ascii="Arial" w:hAnsi="Arial" w:cs="Arial"/>
      </w:rPr>
    </w:lvl>
  </w:abstractNum>
  <w:abstractNum w:abstractNumId="32">
    <w:lvl w:ilvl="0">
      <w:start w:val="1"/>
      <w:numFmt w:val="decimal"/>
      <w:lvlText w:val="%1."/>
      <w:lvlJc w:val="start"/>
      <w:pPr>
        <w:tabs>
          <w:tab w:val="num" w:pos="360"/>
        </w:tabs>
        <w:ind w:start="360" w:hanging="360"/>
      </w:pPr>
    </w:lvl>
  </w:abstractNum>
  <w:abstractNum w:abstractNumId="33">
    <w:lvl w:ilvl="0">
      <w:start w:val="1"/>
      <w:numFmt w:val="lowerLetter"/>
      <w:lvlText w:val="(%1)"/>
      <w:lvlJc w:val="start"/>
      <w:pPr>
        <w:tabs>
          <w:tab w:val="num" w:pos="1247"/>
        </w:tabs>
        <w:ind w:start="1247" w:hanging="680"/>
      </w:pPr>
      <w:rPr>
        <w:sz w:val="20"/>
        <w:i w:val="false"/>
        <w:b w:val="false"/>
        <w:rFonts w:ascii="Arial" w:hAnsi="Arial" w:cs="Arial"/>
      </w:rPr>
    </w:lvl>
  </w:abstractNum>
  <w:abstractNum w:abstractNumId="34">
    <w:lvl w:ilvl="0">
      <w:start w:val="1"/>
      <w:numFmt w:val="lowerRoman"/>
      <w:lvlText w:val="(%1)"/>
      <w:lvlJc w:val="start"/>
      <w:pPr>
        <w:tabs>
          <w:tab w:val="num" w:pos="3442"/>
        </w:tabs>
        <w:ind w:start="3289" w:hanging="567"/>
      </w:pPr>
      <w:rPr>
        <w:sz w:val="20"/>
        <w:i w:val="false"/>
        <w:b w:val="false"/>
        <w:rFonts w:ascii="Arial" w:hAnsi="Arial" w:cs="Arial"/>
      </w:rPr>
    </w:lvl>
  </w:abstractNum>
  <w:abstractNum w:abstractNumId="35">
    <w:lvl w:ilvl="0">
      <w:start w:val="1"/>
      <w:numFmt w:val="lowerRoman"/>
      <w:lvlText w:val="(%1)"/>
      <w:lvlJc w:val="start"/>
      <w:pPr>
        <w:tabs>
          <w:tab w:val="num" w:pos="1247"/>
        </w:tabs>
        <w:ind w:start="1247" w:hanging="680"/>
      </w:pPr>
      <w:rPr>
        <w:sz w:val="20"/>
        <w:i w:val="false"/>
        <w:b w:val="false"/>
        <w:rFonts w:ascii="Arial" w:hAnsi="Arial" w:cs="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26"/>
    <w:lvlOverride w:ilvl="0">
      <w:startOverride w:val="1"/>
    </w:lvlOverride>
  </w:num>
  <w:num w:numId="37">
    <w:abstractNumId w:val="23"/>
    <w:lvlOverride w:ilvl="0">
      <w:startOverride w:val="1"/>
    </w:lvlOverride>
  </w:num>
  <w:num w:numId="38">
    <w:abstractNumId w:val="26"/>
    <w:lvlOverride w:ilvl="0">
      <w:startOverride w:val="1"/>
    </w:lvlOverride>
  </w:num>
  <w:num w:numId="39">
    <w:abstractNumId w:val="28"/>
    <w:lvlOverride w:ilvl="0">
      <w:startOverride w:val="1"/>
    </w:lvlOverride>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widowControl/>
      <w:numPr>
        <w:ilvl w:val="0"/>
        <w:numId w:val="1"/>
      </w:numPr>
      <w:outlineLvl w:val="0"/>
    </w:pPr>
    <w:rPr>
      <w:lang w:eastAsia="en-CA"/>
    </w:rPr>
  </w:style>
  <w:style w:type="paragraph" w:styleId="Heading2">
    <w:name w:val="heading 2"/>
    <w:basedOn w:val="Normal"/>
    <w:next w:val="Normal"/>
    <w:qFormat/>
    <w:pPr>
      <w:keepNext w:val="true"/>
      <w:widowControl/>
      <w:numPr>
        <w:ilvl w:val="1"/>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1"/>
    </w:pPr>
    <w:rPr>
      <w:b/>
      <w:u w:val="single"/>
    </w:rPr>
  </w:style>
  <w:style w:type="paragraph" w:styleId="Heading3">
    <w:name w:val="heading 3"/>
    <w:basedOn w:val="Normal"/>
    <w:next w:val="Normal"/>
    <w:qFormat/>
    <w:pPr>
      <w:keepNext w:val="true"/>
      <w:widowControl/>
      <w:numPr>
        <w:ilvl w:val="2"/>
        <w:numId w:val="1"/>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2"/>
    </w:pPr>
    <w:rPr>
      <w:u w:val="single"/>
    </w:rPr>
  </w:style>
  <w:style w:type="paragraph" w:styleId="Heading4">
    <w:name w:val="heading 4"/>
    <w:basedOn w:val="Normal"/>
    <w:next w:val="Normal"/>
    <w:qFormat/>
    <w:pPr>
      <w:keepNext w:val="true"/>
      <w:widowControl/>
      <w:numPr>
        <w:ilvl w:val="3"/>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3"/>
    </w:pPr>
    <w:rPr>
      <w:b/>
    </w:rPr>
  </w:style>
  <w:style w:type="paragraph" w:styleId="Heading5">
    <w:name w:val="heading 5"/>
    <w:basedOn w:val="Normal"/>
    <w:next w:val="Normal"/>
    <w:qFormat/>
    <w:pPr>
      <w:keepNext w:val="true"/>
      <w:widowControl/>
      <w:numPr>
        <w:ilvl w:val="4"/>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4"/>
    </w:pPr>
    <w:rPr/>
  </w:style>
  <w:style w:type="paragraph" w:styleId="Heading6">
    <w:name w:val="heading 6"/>
    <w:basedOn w:val="Normal"/>
    <w:next w:val="Normal"/>
    <w:qFormat/>
    <w:pPr>
      <w:keepNext w:val="true"/>
      <w:widowControl/>
      <w:numPr>
        <w:ilvl w:val="5"/>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outlineLvl w:val="5"/>
    </w:pPr>
    <w:rPr>
      <w:u w:val="single"/>
    </w:rPr>
  </w:style>
  <w:style w:type="paragraph" w:styleId="Heading7">
    <w:name w:val="heading 7"/>
    <w:basedOn w:val="Normal"/>
    <w:next w:val="Normal"/>
    <w:qFormat/>
    <w:pPr>
      <w:keepNext w:val="true"/>
      <w:widowControl/>
      <w:numPr>
        <w:ilvl w:val="6"/>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outlineLvl w:val="6"/>
    </w:pPr>
    <w:rPr>
      <w:b/>
      <w:u w:val="single"/>
    </w:rPr>
  </w:style>
  <w:style w:type="character" w:styleId="WW8Num1z0">
    <w:name w:val="WW8Num1z0"/>
    <w:qFormat/>
    <w:rPr>
      <w:b/>
      <w:i w:val="false"/>
    </w:rPr>
  </w:style>
  <w:style w:type="character" w:styleId="WW8Num1z1">
    <w:name w:val="WW8Num1z1"/>
    <w:qFormat/>
    <w:rPr/>
  </w:style>
  <w:style w:type="character" w:styleId="WW8Num1z4">
    <w:name w:val="WW8Num1z4"/>
    <w:qFormat/>
    <w:rPr>
      <w:rFonts w:ascii="Symbol" w:hAnsi="Symbol" w:cs="Symbol"/>
    </w:rPr>
  </w:style>
  <w:style w:type="character" w:styleId="WW8Num1z5">
    <w:name w:val="WW8Num1z5"/>
    <w:qFormat/>
    <w:rPr>
      <w:rFonts w:ascii="Wingdings" w:hAnsi="Wingdings" w:cs="Wingdings"/>
    </w:rPr>
  </w:style>
  <w:style w:type="character" w:styleId="WW8Num2z0">
    <w:name w:val="WW8Num2z0"/>
    <w:qFormat/>
    <w:rPr/>
  </w:style>
  <w:style w:type="character" w:styleId="WW8Num4z0">
    <w:name w:val="WW8Num4z0"/>
    <w:qFormat/>
    <w:rPr/>
  </w:style>
  <w:style w:type="character" w:styleId="WW8Num5z0">
    <w:name w:val="WW8Num5z0"/>
    <w:qFormat/>
    <w:rPr>
      <w:rFonts w:ascii="Arial" w:hAnsi="Arial" w:cs="Arial"/>
      <w:b/>
      <w:i w:val="false"/>
      <w:sz w:val="22"/>
    </w:rPr>
  </w:style>
  <w:style w:type="character" w:styleId="WW8Num5z1">
    <w:name w:val="WW8Num5z1"/>
    <w:qFormat/>
    <w:rPr>
      <w:rFonts w:ascii="Arial" w:hAnsi="Arial" w:cs="Arial"/>
      <w:b/>
      <w:i w:val="false"/>
      <w:sz w:val="21"/>
    </w:rPr>
  </w:style>
  <w:style w:type="character" w:styleId="WW8Num5z2">
    <w:name w:val="WW8Num5z2"/>
    <w:qFormat/>
    <w:rPr>
      <w:rFonts w:ascii="Arial" w:hAnsi="Arial" w:cs="Arial"/>
      <w:b/>
      <w:i w:val="false"/>
      <w:sz w:val="17"/>
    </w:rPr>
  </w:style>
  <w:style w:type="character" w:styleId="WW8Num5z3">
    <w:name w:val="WW8Num5z3"/>
    <w:qFormat/>
    <w:rPr>
      <w:rFonts w:ascii="Arial" w:hAnsi="Arial" w:cs="Arial"/>
      <w:b w:val="false"/>
      <w:i w:val="false"/>
      <w:sz w:val="20"/>
    </w:rPr>
  </w:style>
  <w:style w:type="character" w:styleId="WW8Num6z0">
    <w:name w:val="WW8Num6z0"/>
    <w:qFormat/>
    <w:rPr>
      <w:rFonts w:ascii="Arial" w:hAnsi="Arial" w:cs="Arial"/>
      <w:b/>
      <w:i w:val="false"/>
      <w:sz w:val="21"/>
    </w:rPr>
  </w:style>
  <w:style w:type="character" w:styleId="WW8Num6z1">
    <w:name w:val="WW8Num6z1"/>
    <w:qFormat/>
    <w:rPr>
      <w:rFonts w:ascii="Arial" w:hAnsi="Arial" w:cs="Arial"/>
      <w:b/>
      <w:i w:val="false"/>
      <w:sz w:val="20"/>
    </w:rPr>
  </w:style>
  <w:style w:type="character" w:styleId="WW8Num6z2">
    <w:name w:val="WW8Num6z2"/>
    <w:qFormat/>
    <w:rPr>
      <w:b/>
      <w:i w:val="false"/>
      <w:sz w:val="17"/>
    </w:rPr>
  </w:style>
  <w:style w:type="character" w:styleId="WW8Num7z0">
    <w:name w:val="WW8Num7z0"/>
    <w:qFormat/>
    <w:rPr>
      <w:rFonts w:ascii="Arial" w:hAnsi="Arial" w:cs="Arial"/>
      <w:b w:val="false"/>
      <w:i w:val="false"/>
      <w:sz w:val="20"/>
    </w:rPr>
  </w:style>
  <w:style w:type="character" w:styleId="WW8Num8z0">
    <w:name w:val="WW8Num8z0"/>
    <w:qFormat/>
    <w:rPr>
      <w:rFonts w:ascii="Arial" w:hAnsi="Arial" w:cs="Arial"/>
      <w:b w:val="false"/>
      <w:i w:val="false"/>
      <w:sz w:val="20"/>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b/>
      <w:i w:val="false"/>
    </w:rPr>
  </w:style>
  <w:style w:type="character" w:styleId="WW8Num13z0">
    <w:name w:val="WW8Num13z0"/>
    <w:qFormat/>
    <w:rPr>
      <w:rFonts w:ascii="Symbol" w:hAnsi="Symbol" w:cs="Symbol"/>
    </w:rPr>
  </w:style>
  <w:style w:type="character" w:styleId="WW8Num14z0">
    <w:name w:val="WW8Num14z0"/>
    <w:qFormat/>
    <w:rPr>
      <w:b/>
      <w:i w:val="false"/>
      <w:sz w:val="20"/>
    </w:rPr>
  </w:style>
  <w:style w:type="character" w:styleId="WW8Num15z0">
    <w:name w:val="WW8Num15z0"/>
    <w:qFormat/>
    <w:rPr>
      <w:rFonts w:ascii="Arial" w:hAnsi="Arial" w:cs="Arial"/>
      <w:b w:val="false"/>
      <w:i w:val="false"/>
      <w:sz w:val="20"/>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Symbol" w:hAnsi="Symbol" w:cs="Symbol"/>
    </w:rPr>
  </w:style>
  <w:style w:type="character" w:styleId="WW8Num21z0">
    <w:name w:val="WW8Num21z0"/>
    <w:qFormat/>
    <w:rPr>
      <w:rFonts w:ascii="Arial" w:hAnsi="Arial" w:cs="Arial"/>
      <w:b w:val="false"/>
      <w:i w:val="false"/>
      <w:sz w:val="20"/>
    </w:rPr>
  </w:style>
  <w:style w:type="character" w:styleId="WW8Num22z0">
    <w:name w:val="WW8Num22z0"/>
    <w:qFormat/>
    <w:rPr>
      <w:rFonts w:ascii="Symbol" w:hAnsi="Symbol" w:cs="Symbol"/>
    </w:rPr>
  </w:style>
  <w:style w:type="character" w:styleId="WW8Num24z0">
    <w:name w:val="WW8Num24z0"/>
    <w:qFormat/>
    <w:rPr>
      <w:rFonts w:ascii="Arial" w:hAnsi="Arial" w:cs="Arial"/>
      <w:b w:val="false"/>
      <w:i w:val="false"/>
      <w:sz w:val="20"/>
    </w:rPr>
  </w:style>
  <w:style w:type="character" w:styleId="WW8Num25z0">
    <w:name w:val="WW8Num25z0"/>
    <w:qFormat/>
    <w:rPr>
      <w:rFonts w:ascii="Symbol" w:hAnsi="Symbol" w:cs="Symbol"/>
    </w:rPr>
  </w:style>
  <w:style w:type="character" w:styleId="WW8Num27z0">
    <w:name w:val="WW8Num27z0"/>
    <w:qFormat/>
    <w:rPr>
      <w:rFonts w:ascii="Arial" w:hAnsi="Arial" w:cs="Arial"/>
      <w:b/>
      <w:i w:val="false"/>
      <w:sz w:val="22"/>
    </w:rPr>
  </w:style>
  <w:style w:type="character" w:styleId="WW8Num27z1">
    <w:name w:val="WW8Num27z1"/>
    <w:qFormat/>
    <w:rPr>
      <w:rFonts w:ascii="Arial" w:hAnsi="Arial" w:cs="Arial"/>
      <w:b w:val="false"/>
      <w:i w:val="false"/>
      <w:sz w:val="20"/>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2z0">
    <w:name w:val="WW8Num32z0"/>
    <w:qFormat/>
    <w:rPr>
      <w:rFonts w:ascii="Arial" w:hAnsi="Arial" w:cs="Arial"/>
      <w:b w:val="false"/>
      <w:i w:val="false"/>
      <w:sz w:val="20"/>
    </w:rPr>
  </w:style>
  <w:style w:type="character" w:styleId="WW8Num33z0">
    <w:name w:val="WW8Num33z0"/>
    <w:qFormat/>
    <w:rPr>
      <w:rFonts w:ascii="Arial" w:hAnsi="Arial" w:cs="Arial"/>
      <w:b w:val="false"/>
      <w:i w:val="false"/>
      <w:sz w:val="20"/>
    </w:rPr>
  </w:style>
  <w:style w:type="character" w:styleId="WW8Num34z0">
    <w:name w:val="WW8Num34z0"/>
    <w:qFormat/>
    <w:rPr>
      <w:rFonts w:ascii="Symbol" w:hAnsi="Symbol" w:cs="Symbol"/>
    </w:rPr>
  </w:style>
  <w:style w:type="character" w:styleId="WW8Num35z0">
    <w:name w:val="WW8Num35z0"/>
    <w:qFormat/>
    <w:rPr>
      <w:rFonts w:ascii="Arial" w:hAnsi="Arial" w:cs="Arial"/>
      <w:b/>
      <w:i w:val="false"/>
      <w:sz w:val="20"/>
    </w:rPr>
  </w:style>
  <w:style w:type="character" w:styleId="WW8Num35z1">
    <w:name w:val="WW8Num35z1"/>
    <w:qFormat/>
    <w:rPr>
      <w:rFonts w:ascii="Arial" w:hAnsi="Arial" w:cs="Arial"/>
      <w:b/>
      <w:i w:val="false"/>
      <w:sz w:val="19"/>
    </w:rPr>
  </w:style>
  <w:style w:type="character" w:styleId="WW8Num35z2">
    <w:name w:val="WW8Num35z2"/>
    <w:qFormat/>
    <w:rPr>
      <w:rFonts w:ascii="Arial" w:hAnsi="Arial" w:cs="Arial"/>
      <w:b w:val="false"/>
      <w:i w:val="false"/>
      <w:sz w:val="17"/>
    </w:rPr>
  </w:style>
  <w:style w:type="character" w:styleId="WW8Num36z0">
    <w:name w:val="WW8Num36z0"/>
    <w:qFormat/>
    <w:rPr>
      <w:rFonts w:ascii="Arial" w:hAnsi="Arial" w:cs="Arial"/>
      <w:b w:val="false"/>
      <w:i w:val="false"/>
      <w:sz w:val="20"/>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Arial" w:hAnsi="Arial" w:cs="Arial"/>
      <w:b w:val="false"/>
      <w:i w:val="false"/>
      <w:sz w:val="20"/>
    </w:rPr>
  </w:style>
  <w:style w:type="character" w:styleId="WW8Num40z0">
    <w:name w:val="WW8Num40z0"/>
    <w:qFormat/>
    <w:rPr>
      <w:rFonts w:ascii="Arial" w:hAnsi="Arial" w:cs="Arial"/>
      <w:b w:val="false"/>
      <w:i w:val="false"/>
      <w:sz w:val="20"/>
    </w:rPr>
  </w:style>
  <w:style w:type="character" w:styleId="WW8Num41z0">
    <w:name w:val="WW8Num41z0"/>
    <w:qFormat/>
    <w:rPr>
      <w:rFonts w:ascii="Arial" w:hAnsi="Arial" w:cs="Arial"/>
      <w:b w:val="false"/>
      <w:i w:val="false"/>
      <w:sz w:val="20"/>
    </w:rPr>
  </w:style>
  <w:style w:type="character" w:styleId="WW8Num43z0">
    <w:name w:val="WW8Num43z0"/>
    <w:qFormat/>
    <w:rPr>
      <w:rFonts w:ascii="Arial" w:hAnsi="Arial" w:cs="Arial"/>
      <w:b w:val="false"/>
      <w:i w:val="false"/>
      <w:sz w:val="20"/>
    </w:rPr>
  </w:style>
  <w:style w:type="character" w:styleId="WW8Num44z0">
    <w:name w:val="WW8Num44z0"/>
    <w:qFormat/>
    <w:rPr>
      <w:rFonts w:ascii="Symbol" w:hAnsi="Symbol" w:cs="Symbol"/>
    </w:rPr>
  </w:style>
  <w:style w:type="character" w:styleId="WW8Num46z0">
    <w:name w:val="WW8Num46z0"/>
    <w:qFormat/>
    <w:rPr>
      <w:rFonts w:ascii="Arial" w:hAnsi="Arial" w:cs="Arial"/>
      <w:b/>
      <w:i w:val="false"/>
      <w:sz w:val="22"/>
    </w:rPr>
  </w:style>
  <w:style w:type="character" w:styleId="WW8Num46z1">
    <w:name w:val="WW8Num46z1"/>
    <w:qFormat/>
    <w:rPr>
      <w:rFonts w:ascii="Arial" w:hAnsi="Arial" w:cs="Arial"/>
      <w:b/>
      <w:i w:val="false"/>
      <w:sz w:val="21"/>
    </w:rPr>
  </w:style>
  <w:style w:type="character" w:styleId="WW8Num46z2">
    <w:name w:val="WW8Num46z2"/>
    <w:qFormat/>
    <w:rPr>
      <w:rFonts w:ascii="Arial" w:hAnsi="Arial" w:cs="Arial"/>
      <w:b/>
      <w:i w:val="false"/>
      <w:sz w:val="17"/>
    </w:rPr>
  </w:style>
  <w:style w:type="character" w:styleId="WW8Num46z3">
    <w:name w:val="WW8Num46z3"/>
    <w:qFormat/>
    <w:rPr>
      <w:rFonts w:ascii="Arial" w:hAnsi="Arial" w:cs="Arial"/>
      <w:b w:val="false"/>
      <w:i w:val="false"/>
      <w:sz w:val="20"/>
    </w:rPr>
  </w:style>
  <w:style w:type="character" w:styleId="WW8Num47z0">
    <w:name w:val="WW8Num47z0"/>
    <w:qFormat/>
    <w:rPr>
      <w:rFonts w:ascii="Symbol" w:hAnsi="Symbol" w:cs="Symbol"/>
    </w:rPr>
  </w:style>
  <w:style w:type="character" w:styleId="WW8Num48z0">
    <w:name w:val="WW8Num48z0"/>
    <w:qFormat/>
    <w:rPr>
      <w:rFonts w:ascii="Arial" w:hAnsi="Arial" w:cs="Arial"/>
      <w:b w:val="false"/>
      <w:i w:val="false"/>
      <w:sz w:val="20"/>
    </w:rPr>
  </w:style>
  <w:style w:type="character" w:styleId="WW8Num49z0">
    <w:name w:val="WW8Num49z0"/>
    <w:qFormat/>
    <w:rPr>
      <w:b/>
      <w:i w:val="false"/>
    </w:rPr>
  </w:style>
  <w:style w:type="character" w:styleId="WW8Num52z0">
    <w:name w:val="WW8Num52z0"/>
    <w:qFormat/>
    <w:rPr>
      <w:rFonts w:ascii="Arial" w:hAnsi="Arial" w:cs="Arial"/>
      <w:b/>
      <w:i w:val="false"/>
      <w:sz w:val="20"/>
    </w:rPr>
  </w:style>
  <w:style w:type="character" w:styleId="WW8Num53z0">
    <w:name w:val="WW8Num53z0"/>
    <w:qFormat/>
    <w:rPr>
      <w:rFonts w:ascii="Arial" w:hAnsi="Arial" w:cs="Arial"/>
      <w:b w:val="false"/>
      <w:i w:val="false"/>
      <w:sz w:val="20"/>
    </w:rPr>
  </w:style>
  <w:style w:type="character" w:styleId="WW8Num55z0">
    <w:name w:val="WW8Num55z0"/>
    <w:qFormat/>
    <w:rPr>
      <w:rFonts w:ascii="Arial" w:hAnsi="Arial" w:cs="Arial"/>
      <w:b/>
      <w:i w:val="false"/>
      <w:sz w:val="21"/>
    </w:rPr>
  </w:style>
  <w:style w:type="character" w:styleId="WW8Num55z1">
    <w:name w:val="WW8Num55z1"/>
    <w:qFormat/>
    <w:rPr>
      <w:rFonts w:ascii="Arial" w:hAnsi="Arial" w:cs="Arial"/>
      <w:b/>
      <w:i w:val="false"/>
      <w:sz w:val="20"/>
    </w:rPr>
  </w:style>
  <w:style w:type="character" w:styleId="WW8Num55z2">
    <w:name w:val="WW8Num55z2"/>
    <w:qFormat/>
    <w:rPr>
      <w:rFonts w:ascii="Arial" w:hAnsi="Arial" w:cs="Arial"/>
      <w:b/>
      <w:i w:val="false"/>
      <w:sz w:val="17"/>
    </w:rPr>
  </w:style>
  <w:style w:type="character" w:styleId="WW8Num55z3">
    <w:name w:val="WW8Num55z3"/>
    <w:qFormat/>
    <w:rPr>
      <w:rFonts w:ascii="Arial" w:hAnsi="Arial" w:cs="Arial"/>
      <w:b w:val="false"/>
      <w:i w:val="false"/>
      <w:sz w:val="20"/>
    </w:rPr>
  </w:style>
  <w:style w:type="character" w:styleId="WW8Num56z0">
    <w:name w:val="WW8Num56z0"/>
    <w:qFormat/>
    <w:rPr>
      <w:rFonts w:ascii="Arial" w:hAnsi="Arial" w:cs="Arial"/>
      <w:b w:val="false"/>
      <w:i w:val="false"/>
      <w:sz w:val="20"/>
    </w:rPr>
  </w:style>
  <w:style w:type="character" w:styleId="WW8Num57z0">
    <w:name w:val="WW8Num57z0"/>
    <w:qFormat/>
    <w:rPr>
      <w:rFonts w:ascii="Symbol" w:hAnsi="Symbol" w:cs="Symbol"/>
    </w:rPr>
  </w:style>
  <w:style w:type="character" w:styleId="WW8Num58z0">
    <w:name w:val="WW8Num58z0"/>
    <w:qFormat/>
    <w:rPr>
      <w:rFonts w:ascii="Arial" w:hAnsi="Arial" w:cs="Arial"/>
      <w:b w:val="false"/>
      <w:i w:val="false"/>
      <w:sz w:val="20"/>
    </w:rPr>
  </w:style>
  <w:style w:type="character" w:styleId="WW8Num59z0">
    <w:name w:val="WW8Num59z0"/>
    <w:qFormat/>
    <w:rPr>
      <w:rFonts w:ascii="Arial" w:hAnsi="Arial" w:cs="Arial"/>
      <w:b w:val="false"/>
      <w:i w:val="false"/>
      <w:sz w:val="20"/>
    </w:rPr>
  </w:style>
  <w:style w:type="character" w:styleId="WW8Num60z0">
    <w:name w:val="WW8Num60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
    <w:qFormat/>
    <w:pPr>
      <w:keepNext w:val="true"/>
      <w:keepLines/>
      <w:widowControl/>
      <w:spacing w:lineRule="auto" w:line="288" w:before="0" w:after="240"/>
      <w:jc w:val="both"/>
      <w:outlineLvl w:val="3"/>
    </w:pPr>
    <w:rPr>
      <w:rFonts w:ascii="Arial" w:hAnsi="Arial" w:cs="Arial"/>
      <w:b/>
      <w:kern w:val="2"/>
      <w:sz w:val="25"/>
      <w:lang w:val="en-GB" w:eastAsia="en-CA"/>
    </w:rPr>
  </w:style>
  <w:style w:type="paragraph" w:styleId="BodyText">
    <w:name w:val="Body Text"/>
    <w:basedOn w:val="Normal"/>
    <w:pPr>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1">
    <w:name w:val="Body 1"/>
    <w:basedOn w:val="Normal"/>
    <w:qFormat/>
    <w:pPr>
      <w:widowControl/>
      <w:tabs>
        <w:tab w:val="clear" w:pos="720"/>
        <w:tab w:val="left" w:pos="567" w:leader="none"/>
      </w:tabs>
      <w:spacing w:lineRule="auto" w:line="288" w:before="0" w:after="140"/>
      <w:ind w:hanging="0" w:start="567" w:end="0"/>
      <w:jc w:val="both"/>
    </w:pPr>
    <w:rPr>
      <w:rFonts w:ascii="Arial" w:hAnsi="Arial" w:cs="Arial"/>
      <w:kern w:val="2"/>
      <w:sz w:val="20"/>
      <w:lang w:val="en-GB" w:eastAsia="en-CA"/>
    </w:rPr>
  </w:style>
  <w:style w:type="paragraph" w:styleId="Body2">
    <w:name w:val="Body 2"/>
    <w:basedOn w:val="Normal"/>
    <w:qFormat/>
    <w:pPr>
      <w:widowControl/>
      <w:tabs>
        <w:tab w:val="clear" w:pos="720"/>
        <w:tab w:val="left" w:pos="1247" w:leader="none"/>
      </w:tabs>
      <w:spacing w:lineRule="auto" w:line="288" w:before="0" w:after="140"/>
      <w:ind w:hanging="0" w:start="1247" w:end="0"/>
      <w:jc w:val="both"/>
    </w:pPr>
    <w:rPr>
      <w:rFonts w:ascii="Arial" w:hAnsi="Arial" w:cs="Arial"/>
      <w:kern w:val="2"/>
      <w:sz w:val="20"/>
      <w:lang w:val="en-GB" w:eastAsia="en-CA"/>
    </w:rPr>
  </w:style>
  <w:style w:type="paragraph" w:styleId="Bullet2">
    <w:name w:val="Bullet 2"/>
    <w:basedOn w:val="Normal"/>
    <w:qFormat/>
    <w:pPr>
      <w:widowControl/>
      <w:numPr>
        <w:ilvl w:val="0"/>
        <w:numId w:val="27"/>
      </w:numPr>
      <w:tabs>
        <w:tab w:val="clear" w:pos="720"/>
        <w:tab w:val="left" w:pos="1247" w:leader="none"/>
      </w:tabs>
      <w:spacing w:lineRule="auto" w:line="288" w:before="0" w:after="140"/>
      <w:jc w:val="both"/>
    </w:pPr>
    <w:rPr>
      <w:rFonts w:ascii="Arial" w:hAnsi="Arial" w:cs="Arial"/>
      <w:kern w:val="2"/>
      <w:sz w:val="20"/>
      <w:lang w:val="en-GB" w:eastAsia="en-CA"/>
    </w:rPr>
  </w:style>
  <w:style w:type="paragraph" w:styleId="Level1">
    <w:name w:val="Level 1"/>
    <w:basedOn w:val="Normal"/>
    <w:next w:val="Body1"/>
    <w:qFormat/>
    <w:pPr>
      <w:keepNext w:val="true"/>
      <w:widowControl/>
      <w:numPr>
        <w:ilvl w:val="0"/>
        <w:numId w:val="26"/>
      </w:numPr>
      <w:spacing w:lineRule="auto" w:line="288" w:before="140" w:after="140"/>
      <w:jc w:val="both"/>
      <w:outlineLvl w:val="0"/>
    </w:pPr>
    <w:rPr>
      <w:rFonts w:ascii="Arial" w:hAnsi="Arial" w:cs="Arial"/>
      <w:b/>
      <w:kern w:val="2"/>
      <w:sz w:val="22"/>
      <w:lang w:val="en-GB" w:eastAsia="en-CA"/>
    </w:rPr>
  </w:style>
  <w:style w:type="paragraph" w:styleId="Level2">
    <w:name w:val="Level 2"/>
    <w:basedOn w:val="Normal"/>
    <w:qFormat/>
    <w:pPr>
      <w:widowControl/>
      <w:numPr>
        <w:ilvl w:val="0"/>
        <w:numId w:val="26"/>
      </w:numPr>
      <w:spacing w:lineRule="auto" w:line="288" w:before="0" w:after="140"/>
      <w:jc w:val="both"/>
      <w:outlineLvl w:val="1"/>
    </w:pPr>
    <w:rPr>
      <w:rFonts w:ascii="Arial" w:hAnsi="Arial" w:cs="Arial"/>
      <w:kern w:val="2"/>
      <w:sz w:val="20"/>
      <w:lang w:val="en-GB" w:eastAsia="en-CA"/>
    </w:rPr>
  </w:style>
  <w:style w:type="paragraph" w:styleId="Level3">
    <w:name w:val="Level 3"/>
    <w:basedOn w:val="Normal"/>
    <w:qFormat/>
    <w:pPr>
      <w:widowControl/>
      <w:numPr>
        <w:ilvl w:val="0"/>
        <w:numId w:val="26"/>
      </w:numPr>
      <w:spacing w:lineRule="auto" w:line="288" w:before="0" w:after="140"/>
      <w:jc w:val="both"/>
      <w:outlineLvl w:val="2"/>
    </w:pPr>
    <w:rPr>
      <w:rFonts w:ascii="Arial" w:hAnsi="Arial" w:cs="Arial"/>
      <w:kern w:val="2"/>
      <w:sz w:val="20"/>
      <w:lang w:val="en-GB" w:eastAsia="en-CA"/>
    </w:rPr>
  </w:style>
  <w:style w:type="paragraph" w:styleId="Level4">
    <w:name w:val="Level 4"/>
    <w:basedOn w:val="Normal"/>
    <w:qFormat/>
    <w:pPr>
      <w:widowControl/>
      <w:numPr>
        <w:ilvl w:val="0"/>
        <w:numId w:val="26"/>
      </w:numPr>
      <w:spacing w:lineRule="auto" w:line="288" w:before="0" w:after="140"/>
      <w:jc w:val="both"/>
      <w:outlineLvl w:val="3"/>
    </w:pPr>
    <w:rPr>
      <w:rFonts w:ascii="Arial" w:hAnsi="Arial" w:cs="Arial"/>
      <w:kern w:val="2"/>
      <w:sz w:val="20"/>
      <w:lang w:val="en-GB" w:eastAsia="en-CA"/>
    </w:rPr>
  </w:style>
  <w:style w:type="paragraph" w:styleId="Level5">
    <w:name w:val="Level 5"/>
    <w:basedOn w:val="Normal"/>
    <w:qFormat/>
    <w:pPr>
      <w:widowControl/>
      <w:numPr>
        <w:ilvl w:val="0"/>
        <w:numId w:val="26"/>
      </w:numPr>
      <w:spacing w:lineRule="auto" w:line="288" w:before="0" w:after="140"/>
      <w:jc w:val="both"/>
      <w:outlineLvl w:val="4"/>
    </w:pPr>
    <w:rPr>
      <w:rFonts w:ascii="Arial" w:hAnsi="Arial" w:cs="Arial"/>
      <w:kern w:val="2"/>
      <w:sz w:val="20"/>
      <w:lang w:val="en-GB" w:eastAsia="en-CA"/>
    </w:rPr>
  </w:style>
  <w:style w:type="paragraph" w:styleId="Level6">
    <w:name w:val="Level 6"/>
    <w:basedOn w:val="Normal"/>
    <w:qFormat/>
    <w:pPr>
      <w:widowControl/>
      <w:numPr>
        <w:ilvl w:val="0"/>
        <w:numId w:val="26"/>
      </w:numPr>
      <w:spacing w:lineRule="auto" w:line="288" w:before="0" w:after="140"/>
      <w:jc w:val="both"/>
      <w:outlineLvl w:val="5"/>
    </w:pPr>
    <w:rPr>
      <w:rFonts w:ascii="Arial" w:hAnsi="Arial" w:cs="Arial"/>
      <w:kern w:val="2"/>
      <w:sz w:val="20"/>
      <w:lang w:val="en-GB" w:eastAsia="en-CA"/>
    </w:rPr>
  </w:style>
  <w:style w:type="paragraph" w:styleId="Body3">
    <w:name w:val="Body 3"/>
    <w:basedOn w:val="Normal"/>
    <w:qFormat/>
    <w:pPr>
      <w:widowControl/>
      <w:tabs>
        <w:tab w:val="clear" w:pos="720"/>
        <w:tab w:val="left" w:pos="2041" w:leader="none"/>
      </w:tabs>
      <w:spacing w:lineRule="auto" w:line="288" w:before="0" w:after="140"/>
      <w:ind w:hanging="0" w:start="2041" w:end="0"/>
      <w:jc w:val="both"/>
    </w:pPr>
    <w:rPr>
      <w:rFonts w:ascii="Arial" w:hAnsi="Arial" w:cs="Arial"/>
      <w:kern w:val="2"/>
      <w:sz w:val="20"/>
      <w:lang w:val="en-GB" w:eastAsia="en-CA"/>
    </w:rPr>
  </w:style>
  <w:style w:type="paragraph" w:styleId="Head">
    <w:name w:val="Head"/>
    <w:basedOn w:val="Normal"/>
    <w:next w:val="Normal"/>
    <w:qFormat/>
    <w:pPr>
      <w:keepNext w:val="true"/>
      <w:keepLines/>
      <w:widowControl/>
      <w:spacing w:lineRule="auto" w:line="288" w:before="140" w:after="140"/>
      <w:jc w:val="both"/>
      <w:outlineLvl w:val="3"/>
    </w:pPr>
    <w:rPr>
      <w:rFonts w:ascii="Arial" w:hAnsi="Arial" w:cs="Arial"/>
      <w:b/>
      <w:kern w:val="2"/>
      <w:sz w:val="23"/>
      <w:lang w:val="en-GB" w:eastAsia="en-CA"/>
    </w:rPr>
  </w:style>
  <w:style w:type="paragraph" w:styleId="Head1">
    <w:name w:val="Head 1"/>
    <w:basedOn w:val="Normal"/>
    <w:next w:val="Body1"/>
    <w:qFormat/>
    <w:pPr>
      <w:keepNext w:val="true"/>
      <w:keepLines/>
      <w:widowControl/>
      <w:spacing w:lineRule="auto" w:line="288" w:before="140" w:after="60"/>
      <w:ind w:hanging="0" w:start="567" w:end="0"/>
      <w:jc w:val="both"/>
      <w:outlineLvl w:val="3"/>
    </w:pPr>
    <w:rPr>
      <w:rFonts w:ascii="Arial" w:hAnsi="Arial" w:cs="Arial"/>
      <w:b/>
      <w:kern w:val="2"/>
      <w:sz w:val="22"/>
      <w:lang w:val="en-GB" w:eastAsia="en-CA"/>
    </w:rPr>
  </w:style>
  <w:style w:type="paragraph" w:styleId="roman2">
    <w:name w:val="roman 2"/>
    <w:basedOn w:val="Normal"/>
    <w:qFormat/>
    <w:pPr>
      <w:widowControl/>
      <w:numPr>
        <w:ilvl w:val="0"/>
        <w:numId w:val="35"/>
      </w:numPr>
      <w:spacing w:lineRule="auto" w:line="288" w:before="0" w:after="140"/>
      <w:jc w:val="both"/>
    </w:pPr>
    <w:rPr>
      <w:rFonts w:ascii="Arial" w:hAnsi="Arial" w:cs="Arial"/>
      <w:kern w:val="2"/>
      <w:sz w:val="20"/>
      <w:lang w:val="en-GB" w:eastAsia="en-CA"/>
    </w:rPr>
  </w:style>
  <w:style w:type="paragraph" w:styleId="roman3">
    <w:name w:val="roman 3"/>
    <w:basedOn w:val="Normal"/>
    <w:qFormat/>
    <w:pPr>
      <w:widowControl/>
      <w:numPr>
        <w:ilvl w:val="0"/>
        <w:numId w:val="28"/>
      </w:numPr>
      <w:spacing w:lineRule="auto" w:line="288" w:before="0" w:after="140"/>
      <w:jc w:val="both"/>
    </w:pPr>
    <w:rPr>
      <w:rFonts w:ascii="Arial" w:hAnsi="Arial" w:cs="Arial"/>
      <w:kern w:val="2"/>
      <w:sz w:val="20"/>
      <w:lang w:val="en-GB" w:eastAsia="en-CA"/>
    </w:rPr>
  </w:style>
  <w:style w:type="paragraph" w:styleId="roman4">
    <w:name w:val="roman 4"/>
    <w:basedOn w:val="Normal"/>
    <w:qFormat/>
    <w:pPr>
      <w:widowControl/>
      <w:numPr>
        <w:ilvl w:val="0"/>
        <w:numId w:val="23"/>
      </w:numPr>
      <w:spacing w:lineRule="auto" w:line="288" w:before="0" w:after="140"/>
      <w:jc w:val="both"/>
    </w:pPr>
    <w:rPr>
      <w:rFonts w:ascii="Arial" w:hAnsi="Arial" w:cs="Arial"/>
      <w:kern w:val="2"/>
      <w:sz w:val="20"/>
      <w:lang w:val="en-GB" w:eastAsia="en-CA"/>
    </w:rPr>
  </w:style>
  <w:style w:type="paragraph" w:styleId="BodyTextIndent2">
    <w:name w:val="Body Text Indent 2"/>
    <w:basedOn w:val="Normal"/>
    <w:qFormat/>
    <w:pPr>
      <w:widowControl/>
      <w:ind w:firstLine="720" w:start="720" w:end="0"/>
    </w:pPr>
    <w:rPr>
      <w:sz w:val="22"/>
      <w:lang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pPr>
    <w:rPr/>
  </w:style>
  <w:style w:type="paragraph" w:styleId="alpha1">
    <w:name w:val="alpha 1"/>
    <w:basedOn w:val="Normal"/>
    <w:qFormat/>
    <w:pPr>
      <w:widowControl/>
      <w:numPr>
        <w:ilvl w:val="0"/>
        <w:numId w:val="20"/>
      </w:numPr>
      <w:tabs>
        <w:tab w:val="clear" w:pos="720"/>
        <w:tab w:val="left" w:pos="567" w:leader="none"/>
      </w:tabs>
      <w:spacing w:lineRule="auto" w:line="288" w:before="0" w:after="140"/>
      <w:jc w:val="both"/>
    </w:pPr>
    <w:rPr>
      <w:rFonts w:ascii="Arial" w:hAnsi="Arial" w:cs="Arial"/>
      <w:kern w:val="2"/>
      <w:sz w:val="20"/>
      <w:lang w:val="en-GB" w:eastAsia="en-CA"/>
    </w:rPr>
  </w:style>
  <w:style w:type="paragraph" w:styleId="alpha2">
    <w:name w:val="alpha 2"/>
    <w:basedOn w:val="Normal"/>
    <w:qFormat/>
    <w:pPr>
      <w:widowControl/>
      <w:numPr>
        <w:ilvl w:val="0"/>
        <w:numId w:val="33"/>
      </w:numPr>
      <w:tabs>
        <w:tab w:val="clear" w:pos="720"/>
        <w:tab w:val="left" w:pos="1247" w:leader="none"/>
      </w:tabs>
      <w:spacing w:lineRule="auto" w:line="288" w:before="0" w:after="140"/>
      <w:jc w:val="both"/>
    </w:pPr>
    <w:rPr>
      <w:rFonts w:ascii="Arial" w:hAnsi="Arial" w:cs="Arial"/>
      <w:kern w:val="2"/>
      <w:sz w:val="20"/>
      <w:lang w:val="en-GB" w:eastAsia="en-CA"/>
    </w:rPr>
  </w:style>
  <w:style w:type="paragraph" w:styleId="alpha3">
    <w:name w:val="alpha 3"/>
    <w:basedOn w:val="Normal"/>
    <w:qFormat/>
    <w:pPr>
      <w:widowControl/>
      <w:numPr>
        <w:ilvl w:val="0"/>
        <w:numId w:val="12"/>
      </w:numPr>
      <w:tabs>
        <w:tab w:val="clear" w:pos="720"/>
        <w:tab w:val="left" w:pos="2041" w:leader="none"/>
      </w:tabs>
      <w:spacing w:lineRule="auto" w:line="288" w:before="0" w:after="140"/>
      <w:jc w:val="both"/>
    </w:pPr>
    <w:rPr>
      <w:rFonts w:ascii="Arial" w:hAnsi="Arial" w:cs="Arial"/>
      <w:kern w:val="2"/>
      <w:sz w:val="20"/>
      <w:lang w:val="en-GB" w:eastAsia="en-CA"/>
    </w:rPr>
  </w:style>
  <w:style w:type="paragraph" w:styleId="alpha4">
    <w:name w:val="alpha 4"/>
    <w:basedOn w:val="Normal"/>
    <w:qFormat/>
    <w:pPr>
      <w:widowControl/>
      <w:numPr>
        <w:ilvl w:val="0"/>
        <w:numId w:val="4"/>
      </w:numPr>
      <w:tabs>
        <w:tab w:val="clear" w:pos="720"/>
        <w:tab w:val="left" w:pos="2722" w:leader="none"/>
      </w:tabs>
      <w:spacing w:lineRule="auto" w:line="288" w:before="0" w:after="140"/>
      <w:ind w:hanging="680" w:start="2721" w:end="0"/>
      <w:jc w:val="both"/>
    </w:pPr>
    <w:rPr>
      <w:rFonts w:ascii="Arial" w:hAnsi="Arial" w:cs="Arial"/>
      <w:kern w:val="2"/>
      <w:sz w:val="20"/>
      <w:lang w:val="en-GB" w:eastAsia="en-CA"/>
    </w:rPr>
  </w:style>
  <w:style w:type="paragraph" w:styleId="alpha5">
    <w:name w:val="alpha 5"/>
    <w:basedOn w:val="Normal"/>
    <w:qFormat/>
    <w:pPr>
      <w:widowControl/>
      <w:numPr>
        <w:ilvl w:val="0"/>
        <w:numId w:val="18"/>
      </w:numPr>
      <w:tabs>
        <w:tab w:val="clear" w:pos="720"/>
        <w:tab w:val="left" w:pos="3289" w:leader="none"/>
      </w:tabs>
      <w:spacing w:lineRule="auto" w:line="288" w:before="0" w:after="140"/>
      <w:jc w:val="both"/>
    </w:pPr>
    <w:rPr>
      <w:rFonts w:ascii="Arial" w:hAnsi="Arial" w:cs="Arial"/>
      <w:kern w:val="2"/>
      <w:sz w:val="20"/>
      <w:lang w:val="en-GB" w:eastAsia="en-CA"/>
    </w:rPr>
  </w:style>
  <w:style w:type="paragraph" w:styleId="alpha6">
    <w:name w:val="alpha 6"/>
    <w:basedOn w:val="Normal"/>
    <w:qFormat/>
    <w:pPr>
      <w:widowControl/>
      <w:numPr>
        <w:ilvl w:val="0"/>
        <w:numId w:val="14"/>
      </w:numPr>
      <w:tabs>
        <w:tab w:val="clear" w:pos="720"/>
        <w:tab w:val="left" w:pos="3969" w:leader="none"/>
      </w:tabs>
      <w:spacing w:lineRule="auto" w:line="288" w:before="0" w:after="140"/>
      <w:jc w:val="both"/>
    </w:pPr>
    <w:rPr>
      <w:rFonts w:ascii="Arial" w:hAnsi="Arial" w:cs="Arial"/>
      <w:kern w:val="2"/>
      <w:sz w:val="20"/>
      <w:lang w:val="en-GB" w:eastAsia="en-CA"/>
    </w:rPr>
  </w:style>
  <w:style w:type="paragraph" w:styleId="Bullet1">
    <w:name w:val="Bullet 1"/>
    <w:basedOn w:val="Normal"/>
    <w:qFormat/>
    <w:pPr>
      <w:widowControl/>
      <w:numPr>
        <w:ilvl w:val="0"/>
        <w:numId w:val="7"/>
      </w:numPr>
      <w:tabs>
        <w:tab w:val="clear" w:pos="720"/>
        <w:tab w:val="left" w:pos="567" w:leader="none"/>
      </w:tabs>
      <w:spacing w:lineRule="auto" w:line="288" w:before="0" w:after="140"/>
      <w:jc w:val="both"/>
    </w:pPr>
    <w:rPr>
      <w:rFonts w:ascii="Arial" w:hAnsi="Arial" w:cs="Arial"/>
      <w:kern w:val="2"/>
      <w:sz w:val="20"/>
      <w:lang w:val="en-GB" w:eastAsia="en-CA"/>
    </w:rPr>
  </w:style>
  <w:style w:type="paragraph" w:styleId="Bullet3">
    <w:name w:val="Bullet 3"/>
    <w:basedOn w:val="Normal"/>
    <w:qFormat/>
    <w:pPr>
      <w:widowControl/>
      <w:numPr>
        <w:ilvl w:val="0"/>
        <w:numId w:val="13"/>
      </w:numPr>
      <w:tabs>
        <w:tab w:val="clear" w:pos="720"/>
        <w:tab w:val="left" w:pos="2041" w:leader="none"/>
      </w:tabs>
      <w:spacing w:lineRule="auto" w:line="288" w:before="0" w:after="140"/>
      <w:jc w:val="both"/>
    </w:pPr>
    <w:rPr>
      <w:rFonts w:ascii="Arial" w:hAnsi="Arial" w:cs="Arial"/>
      <w:kern w:val="2"/>
      <w:sz w:val="20"/>
      <w:lang w:val="en-GB" w:eastAsia="en-CA"/>
    </w:rPr>
  </w:style>
  <w:style w:type="paragraph" w:styleId="Bullet4">
    <w:name w:val="Bullet 4"/>
    <w:basedOn w:val="Normal"/>
    <w:qFormat/>
    <w:pPr>
      <w:widowControl/>
      <w:numPr>
        <w:ilvl w:val="0"/>
        <w:numId w:val="10"/>
      </w:numPr>
      <w:tabs>
        <w:tab w:val="clear" w:pos="720"/>
        <w:tab w:val="left" w:pos="2722" w:leader="none"/>
      </w:tabs>
      <w:spacing w:lineRule="auto" w:line="288" w:before="0" w:after="140"/>
      <w:ind w:hanging="680" w:start="2721" w:end="0"/>
      <w:jc w:val="both"/>
    </w:pPr>
    <w:rPr>
      <w:rFonts w:ascii="Arial" w:hAnsi="Arial" w:cs="Arial"/>
      <w:kern w:val="2"/>
      <w:sz w:val="20"/>
      <w:lang w:val="en-GB" w:eastAsia="en-CA"/>
    </w:rPr>
  </w:style>
  <w:style w:type="paragraph" w:styleId="Bullet5">
    <w:name w:val="Bullet 5"/>
    <w:basedOn w:val="Normal"/>
    <w:qFormat/>
    <w:pPr>
      <w:widowControl/>
      <w:numPr>
        <w:ilvl w:val="0"/>
        <w:numId w:val="16"/>
      </w:numPr>
      <w:tabs>
        <w:tab w:val="clear" w:pos="720"/>
        <w:tab w:val="left" w:pos="3289" w:leader="none"/>
      </w:tabs>
      <w:spacing w:lineRule="auto" w:line="288" w:before="0" w:after="140"/>
      <w:jc w:val="both"/>
    </w:pPr>
    <w:rPr>
      <w:rFonts w:ascii="Arial" w:hAnsi="Arial" w:cs="Arial"/>
      <w:kern w:val="2"/>
      <w:sz w:val="20"/>
      <w:lang w:val="en-GB" w:eastAsia="en-CA"/>
    </w:rPr>
  </w:style>
  <w:style w:type="paragraph" w:styleId="Bullet6">
    <w:name w:val="Bullet 6"/>
    <w:basedOn w:val="Normal"/>
    <w:qFormat/>
    <w:pPr>
      <w:widowControl/>
      <w:numPr>
        <w:ilvl w:val="0"/>
        <w:numId w:val="5"/>
      </w:numPr>
      <w:tabs>
        <w:tab w:val="clear" w:pos="720"/>
        <w:tab w:val="left" w:pos="3969" w:leader="none"/>
      </w:tabs>
      <w:spacing w:lineRule="auto" w:line="288" w:before="0" w:after="140"/>
      <w:jc w:val="both"/>
    </w:pPr>
    <w:rPr>
      <w:rFonts w:ascii="Arial" w:hAnsi="Arial" w:cs="Arial"/>
      <w:kern w:val="2"/>
      <w:sz w:val="20"/>
      <w:lang w:val="en-GB" w:eastAsia="en-CA"/>
    </w:rPr>
  </w:style>
  <w:style w:type="paragraph" w:styleId="Parties">
    <w:name w:val="Parties"/>
    <w:basedOn w:val="Normal"/>
    <w:qFormat/>
    <w:pPr>
      <w:widowControl/>
      <w:numPr>
        <w:ilvl w:val="0"/>
        <w:numId w:val="30"/>
      </w:numPr>
      <w:spacing w:lineRule="auto" w:line="288" w:before="0" w:after="140"/>
      <w:jc w:val="both"/>
    </w:pPr>
    <w:rPr>
      <w:rFonts w:ascii="Arial" w:hAnsi="Arial" w:cs="Arial"/>
      <w:kern w:val="2"/>
      <w:sz w:val="20"/>
      <w:lang w:val="en-GB" w:eastAsia="en-CA"/>
    </w:rPr>
  </w:style>
  <w:style w:type="paragraph" w:styleId="Body">
    <w:name w:val="Body"/>
    <w:qFormat/>
    <w:pPr>
      <w:widowControl/>
      <w:bidi w:val="0"/>
      <w:spacing w:lineRule="auto" w:line="288" w:before="0" w:after="140"/>
      <w:jc w:val="both"/>
    </w:pPr>
    <w:rPr>
      <w:rFonts w:ascii="Arial" w:hAnsi="Arial" w:eastAsia="Times New Roman" w:cs="Arial"/>
      <w:color w:val="auto"/>
      <w:kern w:val="2"/>
      <w:sz w:val="20"/>
      <w:szCs w:val="20"/>
      <w:lang w:val="en-GB" w:eastAsia="zh-CN" w:bidi="hi-IN"/>
    </w:rPr>
  </w:style>
  <w:style w:type="paragraph" w:styleId="Recitals">
    <w:name w:val="Recitals"/>
    <w:basedOn w:val="Body"/>
    <w:qFormat/>
    <w:pPr>
      <w:numPr>
        <w:ilvl w:val="0"/>
        <w:numId w:val="3"/>
      </w:numPr>
      <w:tabs>
        <w:tab w:val="clear" w:pos="720"/>
        <w:tab w:val="left" w:pos="567" w:leader="none"/>
      </w:tabs>
    </w:pPr>
    <w:rPr/>
  </w:style>
  <w:style w:type="paragraph" w:styleId="roman1">
    <w:name w:val="roman 1"/>
    <w:basedOn w:val="Normal"/>
    <w:qFormat/>
    <w:pPr>
      <w:widowControl/>
      <w:numPr>
        <w:ilvl w:val="0"/>
        <w:numId w:val="25"/>
      </w:numPr>
      <w:tabs>
        <w:tab w:val="clear" w:pos="720"/>
        <w:tab w:val="left" w:pos="567" w:leader="none"/>
      </w:tabs>
      <w:spacing w:lineRule="auto" w:line="288" w:before="0" w:after="140"/>
      <w:jc w:val="both"/>
    </w:pPr>
    <w:rPr>
      <w:rFonts w:ascii="Arial" w:hAnsi="Arial" w:cs="Arial"/>
      <w:kern w:val="2"/>
      <w:sz w:val="20"/>
      <w:lang w:val="en-GB" w:eastAsia="en-CA"/>
    </w:rPr>
  </w:style>
  <w:style w:type="paragraph" w:styleId="roman5">
    <w:name w:val="roman 5"/>
    <w:basedOn w:val="Normal"/>
    <w:qFormat/>
    <w:pPr>
      <w:widowControl/>
      <w:numPr>
        <w:ilvl w:val="0"/>
        <w:numId w:val="34"/>
      </w:numPr>
      <w:tabs>
        <w:tab w:val="clear" w:pos="720"/>
        <w:tab w:val="left" w:pos="3289" w:leader="none"/>
      </w:tabs>
      <w:spacing w:lineRule="auto" w:line="288" w:before="0" w:after="140"/>
      <w:jc w:val="both"/>
    </w:pPr>
    <w:rPr>
      <w:rFonts w:ascii="Arial" w:hAnsi="Arial" w:cs="Arial"/>
      <w:kern w:val="2"/>
      <w:sz w:val="20"/>
      <w:lang w:val="en-GB" w:eastAsia="en-CA"/>
    </w:rPr>
  </w:style>
  <w:style w:type="paragraph" w:styleId="roman6">
    <w:name w:val="roman 6"/>
    <w:basedOn w:val="Normal"/>
    <w:qFormat/>
    <w:pPr>
      <w:widowControl/>
      <w:numPr>
        <w:ilvl w:val="0"/>
        <w:numId w:val="31"/>
      </w:numPr>
      <w:tabs>
        <w:tab w:val="clear" w:pos="720"/>
        <w:tab w:val="left" w:pos="3969" w:leader="none"/>
      </w:tabs>
      <w:spacing w:lineRule="auto" w:line="288" w:before="0" w:after="140"/>
      <w:jc w:val="both"/>
    </w:pPr>
    <w:rPr>
      <w:rFonts w:ascii="Arial" w:hAnsi="Arial" w:cs="Arial"/>
      <w:kern w:val="2"/>
      <w:sz w:val="20"/>
      <w:lang w:val="en-GB" w:eastAsia="en-CA"/>
    </w:rPr>
  </w:style>
  <w:style w:type="paragraph" w:styleId="Schedule1">
    <w:name w:val="Schedule 1"/>
    <w:basedOn w:val="Normal"/>
    <w:next w:val="Body1"/>
    <w:qFormat/>
    <w:pPr>
      <w:widowControl/>
      <w:numPr>
        <w:ilvl w:val="0"/>
        <w:numId w:val="2"/>
      </w:numPr>
      <w:spacing w:lineRule="auto" w:line="288" w:before="0" w:after="140"/>
      <w:jc w:val="both"/>
      <w:outlineLvl w:val="0"/>
    </w:pPr>
    <w:rPr>
      <w:rFonts w:ascii="Arial" w:hAnsi="Arial" w:cs="Arial"/>
      <w:kern w:val="2"/>
      <w:sz w:val="20"/>
      <w:lang w:val="en-GB" w:eastAsia="en-CA"/>
    </w:rPr>
  </w:style>
  <w:style w:type="paragraph" w:styleId="Schedule2">
    <w:name w:val="Schedule 2"/>
    <w:basedOn w:val="Normal"/>
    <w:next w:val="Body2"/>
    <w:qFormat/>
    <w:pPr>
      <w:widowControl/>
      <w:numPr>
        <w:ilvl w:val="0"/>
        <w:numId w:val="2"/>
      </w:numPr>
      <w:spacing w:lineRule="auto" w:line="288" w:before="0" w:after="140"/>
      <w:jc w:val="both"/>
      <w:outlineLvl w:val="1"/>
    </w:pPr>
    <w:rPr>
      <w:rFonts w:ascii="Arial" w:hAnsi="Arial" w:cs="Arial"/>
      <w:kern w:val="2"/>
      <w:sz w:val="20"/>
      <w:lang w:val="en-GB" w:eastAsia="en-CA"/>
    </w:rPr>
  </w:style>
  <w:style w:type="paragraph" w:styleId="Schedule3">
    <w:name w:val="Schedule 3"/>
    <w:basedOn w:val="Normal"/>
    <w:next w:val="Body3"/>
    <w:qFormat/>
    <w:pPr>
      <w:widowControl/>
      <w:numPr>
        <w:ilvl w:val="0"/>
        <w:numId w:val="2"/>
      </w:numPr>
      <w:spacing w:lineRule="auto" w:line="288" w:before="0" w:after="140"/>
      <w:jc w:val="both"/>
      <w:outlineLvl w:val="2"/>
    </w:pPr>
    <w:rPr>
      <w:rFonts w:ascii="Arial" w:hAnsi="Arial" w:cs="Arial"/>
      <w:kern w:val="2"/>
      <w:sz w:val="20"/>
      <w:lang w:val="en-GB" w:eastAsia="en-CA"/>
    </w:rPr>
  </w:style>
  <w:style w:type="paragraph" w:styleId="Schedule4">
    <w:name w:val="Schedule 4"/>
    <w:basedOn w:val="Normal"/>
    <w:next w:val="Body4"/>
    <w:qFormat/>
    <w:pPr>
      <w:widowControl/>
      <w:numPr>
        <w:ilvl w:val="0"/>
        <w:numId w:val="2"/>
      </w:numPr>
      <w:spacing w:lineRule="auto" w:line="288" w:before="0" w:after="140"/>
      <w:jc w:val="both"/>
      <w:outlineLvl w:val="3"/>
    </w:pPr>
    <w:rPr>
      <w:rFonts w:ascii="Arial" w:hAnsi="Arial" w:cs="Arial"/>
      <w:kern w:val="2"/>
      <w:sz w:val="20"/>
      <w:lang w:val="en-GB" w:eastAsia="en-CA"/>
    </w:rPr>
  </w:style>
  <w:style w:type="paragraph" w:styleId="Body4">
    <w:name w:val="Body 4"/>
    <w:basedOn w:val="Body"/>
    <w:qFormat/>
    <w:pPr>
      <w:tabs>
        <w:tab w:val="clear" w:pos="720"/>
        <w:tab w:val="left" w:pos="2722" w:leader="none"/>
      </w:tabs>
      <w:ind w:hanging="0" w:start="2722" w:end="0"/>
    </w:pPr>
    <w:rPr/>
  </w:style>
  <w:style w:type="paragraph" w:styleId="Schedule5">
    <w:name w:val="Schedule 5"/>
    <w:basedOn w:val="Normal"/>
    <w:next w:val="Body5"/>
    <w:qFormat/>
    <w:pPr>
      <w:widowControl/>
      <w:numPr>
        <w:ilvl w:val="0"/>
        <w:numId w:val="2"/>
      </w:numPr>
      <w:spacing w:lineRule="auto" w:line="288" w:before="0" w:after="140"/>
      <w:jc w:val="both"/>
      <w:outlineLvl w:val="4"/>
    </w:pPr>
    <w:rPr>
      <w:rFonts w:ascii="Arial" w:hAnsi="Arial" w:cs="Arial"/>
      <w:kern w:val="2"/>
      <w:sz w:val="20"/>
      <w:lang w:val="en-GB" w:eastAsia="en-CA"/>
    </w:rPr>
  </w:style>
  <w:style w:type="paragraph" w:styleId="Body5">
    <w:name w:val="Body 5"/>
    <w:basedOn w:val="Body"/>
    <w:qFormat/>
    <w:pPr>
      <w:tabs>
        <w:tab w:val="clear" w:pos="720"/>
        <w:tab w:val="left" w:pos="3289" w:leader="none"/>
      </w:tabs>
      <w:ind w:hanging="0" w:start="3289" w:end="0"/>
    </w:pPr>
    <w:rPr/>
  </w:style>
  <w:style w:type="paragraph" w:styleId="Schedule6">
    <w:name w:val="Schedule 6"/>
    <w:basedOn w:val="Normal"/>
    <w:next w:val="Body6"/>
    <w:qFormat/>
    <w:pPr>
      <w:widowControl/>
      <w:numPr>
        <w:ilvl w:val="0"/>
        <w:numId w:val="2"/>
      </w:numPr>
      <w:spacing w:lineRule="auto" w:line="288" w:before="0" w:after="140"/>
      <w:jc w:val="both"/>
      <w:outlineLvl w:val="5"/>
    </w:pPr>
    <w:rPr>
      <w:rFonts w:ascii="Arial" w:hAnsi="Arial" w:cs="Arial"/>
      <w:kern w:val="2"/>
      <w:sz w:val="20"/>
      <w:lang w:val="en-GB" w:eastAsia="en-CA"/>
    </w:rPr>
  </w:style>
  <w:style w:type="paragraph" w:styleId="Body6">
    <w:name w:val="Body 6"/>
    <w:basedOn w:val="Body"/>
    <w:qFormat/>
    <w:pPr>
      <w:tabs>
        <w:tab w:val="clear" w:pos="720"/>
        <w:tab w:val="left" w:pos="3969" w:leader="none"/>
      </w:tabs>
      <w:ind w:hanging="0" w:start="3969" w:end="0"/>
    </w:pPr>
    <w:rPr/>
  </w:style>
  <w:style w:type="paragraph" w:styleId="TCLevel1">
    <w:name w:val="T+C Level 1"/>
    <w:basedOn w:val="Body"/>
    <w:next w:val="TCLevel2"/>
    <w:qFormat/>
    <w:pPr>
      <w:keepNext w:val="true"/>
      <w:numPr>
        <w:ilvl w:val="0"/>
        <w:numId w:val="15"/>
      </w:numPr>
      <w:tabs>
        <w:tab w:val="clear" w:pos="720"/>
        <w:tab w:val="left" w:pos="567" w:leader="none"/>
      </w:tabs>
      <w:spacing w:before="140" w:after="0"/>
      <w:outlineLvl w:val="0"/>
    </w:pPr>
    <w:rPr>
      <w:b/>
    </w:rPr>
  </w:style>
  <w:style w:type="paragraph" w:styleId="TCLevel2">
    <w:name w:val="T+C Level 2"/>
    <w:basedOn w:val="Body"/>
    <w:qFormat/>
    <w:pPr>
      <w:numPr>
        <w:ilvl w:val="0"/>
        <w:numId w:val="15"/>
      </w:numPr>
      <w:tabs>
        <w:tab w:val="clear" w:pos="720"/>
        <w:tab w:val="left" w:pos="1247" w:leader="none"/>
      </w:tabs>
      <w:outlineLvl w:val="1"/>
    </w:pPr>
    <w:rPr/>
  </w:style>
  <w:style w:type="paragraph" w:styleId="TCLevel3">
    <w:name w:val="T+C Level 3"/>
    <w:basedOn w:val="Body"/>
    <w:qFormat/>
    <w:pPr>
      <w:numPr>
        <w:ilvl w:val="0"/>
        <w:numId w:val="15"/>
      </w:numPr>
      <w:tabs>
        <w:tab w:val="clear" w:pos="720"/>
        <w:tab w:val="left" w:pos="2041" w:leader="none"/>
      </w:tabs>
      <w:outlineLvl w:val="2"/>
    </w:pPr>
    <w:rPr/>
  </w:style>
  <w:style w:type="paragraph" w:styleId="TCLevel4">
    <w:name w:val="T+C Level 4"/>
    <w:basedOn w:val="Body"/>
    <w:qFormat/>
    <w:pPr>
      <w:numPr>
        <w:ilvl w:val="0"/>
        <w:numId w:val="15"/>
      </w:numPr>
      <w:tabs>
        <w:tab w:val="clear" w:pos="720"/>
        <w:tab w:val="left" w:pos="2722" w:leader="none"/>
      </w:tabs>
      <w:ind w:hanging="680" w:start="2721" w:end="0"/>
      <w:outlineLvl w:val="3"/>
    </w:pPr>
    <w:rPr/>
  </w:style>
  <w:style w:type="paragraph" w:styleId="ALevel2F">
    <w:name w:val="ALevel 2F"/>
    <w:basedOn w:val="Normal"/>
    <w:qFormat/>
    <w:pPr>
      <w:widowControl/>
      <w:numPr>
        <w:ilvl w:val="0"/>
        <w:numId w:val="6"/>
      </w:numPr>
      <w:spacing w:lineRule="auto" w:line="288" w:before="0" w:after="140"/>
      <w:jc w:val="both"/>
      <w:outlineLvl w:val="1"/>
    </w:pPr>
    <w:rPr>
      <w:rFonts w:ascii="Arial" w:hAnsi="Arial" w:cs="Arial"/>
      <w:kern w:val="2"/>
      <w:sz w:val="20"/>
      <w:lang w:val="fr-FR" w:eastAsia="en-CA"/>
    </w:rPr>
  </w:style>
  <w:style w:type="paragraph" w:styleId="1erLevel2F">
    <w:name w:val="1erLevel2F"/>
    <w:basedOn w:val="ALevel2F"/>
    <w:qFormat/>
    <w:pPr>
      <w:numPr>
        <w:ilvl w:val="0"/>
        <w:numId w:val="29"/>
      </w:numPr>
      <w:tabs>
        <w:tab w:val="clear" w:pos="720"/>
        <w:tab w:val="left" w:pos="360" w:leader="none"/>
      </w:tabs>
    </w:pPr>
    <w:rPr/>
  </w:style>
  <w:style w:type="paragraph" w:styleId="1erLevel3F">
    <w:name w:val="1erLevel3F"/>
    <w:basedOn w:val="1erLevel2F"/>
    <w:qFormat/>
    <w:pPr>
      <w:numPr>
        <w:ilvl w:val="0"/>
        <w:numId w:val="29"/>
      </w:numPr>
      <w:outlineLvl w:val="2"/>
    </w:pPr>
    <w:rPr/>
  </w:style>
  <w:style w:type="paragraph" w:styleId="ALevel3F">
    <w:name w:val="ALevel 3F"/>
    <w:basedOn w:val="Normal"/>
    <w:qFormat/>
    <w:pPr>
      <w:widowControl/>
      <w:numPr>
        <w:ilvl w:val="0"/>
        <w:numId w:val="6"/>
      </w:numPr>
      <w:spacing w:lineRule="auto" w:line="288" w:before="0" w:after="140"/>
      <w:jc w:val="both"/>
      <w:outlineLvl w:val="2"/>
    </w:pPr>
    <w:rPr>
      <w:rFonts w:ascii="Arial" w:hAnsi="Arial" w:cs="Arial"/>
      <w:kern w:val="2"/>
      <w:sz w:val="20"/>
      <w:lang w:val="fr-FR" w:eastAsia="en-CA"/>
    </w:rPr>
  </w:style>
  <w:style w:type="paragraph" w:styleId="ALevel4F">
    <w:name w:val="ALevel 4F"/>
    <w:basedOn w:val="Normal"/>
    <w:qFormat/>
    <w:pPr>
      <w:widowControl/>
      <w:numPr>
        <w:ilvl w:val="0"/>
        <w:numId w:val="6"/>
      </w:numPr>
      <w:tabs>
        <w:tab w:val="clear" w:pos="720"/>
        <w:tab w:val="left" w:pos="1418" w:leader="none"/>
      </w:tabs>
      <w:spacing w:lineRule="auto" w:line="288" w:before="0" w:after="140"/>
      <w:ind w:hanging="567" w:start="1418" w:end="0"/>
      <w:jc w:val="both"/>
      <w:outlineLvl w:val="3"/>
    </w:pPr>
    <w:rPr>
      <w:rFonts w:ascii="Arial" w:hAnsi="Arial" w:cs="Arial"/>
      <w:kern w:val="2"/>
      <w:sz w:val="20"/>
      <w:lang w:val="fr-FR" w:eastAsia="en-CA"/>
    </w:rPr>
  </w:style>
  <w:style w:type="paragraph" w:styleId="alphaF">
    <w:name w:val="alphaF"/>
    <w:basedOn w:val="Normal"/>
    <w:qFormat/>
    <w:pPr>
      <w:widowControl/>
      <w:numPr>
        <w:ilvl w:val="0"/>
        <w:numId w:val="9"/>
      </w:numPr>
      <w:tabs>
        <w:tab w:val="clear" w:pos="720"/>
        <w:tab w:val="left" w:pos="1985" w:leader="none"/>
      </w:tabs>
      <w:spacing w:lineRule="auto" w:line="288" w:before="0" w:after="140"/>
      <w:jc w:val="both"/>
    </w:pPr>
    <w:rPr>
      <w:rFonts w:ascii="Arial" w:hAnsi="Arial" w:cs="Arial"/>
      <w:kern w:val="2"/>
      <w:sz w:val="20"/>
      <w:lang w:val="fr-FR" w:eastAsia="en-CA"/>
    </w:rPr>
  </w:style>
  <w:style w:type="paragraph" w:styleId="ARTICLE">
    <w:name w:val="ARTICLE"/>
    <w:basedOn w:val="Normal"/>
    <w:next w:val="Normal"/>
    <w:qFormat/>
    <w:pPr>
      <w:widowControl/>
      <w:numPr>
        <w:ilvl w:val="0"/>
        <w:numId w:val="6"/>
      </w:numPr>
      <w:tabs>
        <w:tab w:val="clear" w:pos="720"/>
        <w:tab w:val="left" w:pos="1418" w:leader="none"/>
      </w:tabs>
      <w:spacing w:lineRule="auto" w:line="288" w:before="0" w:after="140"/>
      <w:ind w:hanging="851" w:start="851" w:end="0"/>
      <w:jc w:val="both"/>
    </w:pPr>
    <w:rPr>
      <w:rFonts w:ascii="Arial" w:hAnsi="Arial" w:cs="Arial"/>
      <w:b/>
      <w:sz w:val="20"/>
      <w:lang w:val="fr-FR" w:eastAsia="en-CA"/>
    </w:rPr>
  </w:style>
  <w:style w:type="paragraph" w:styleId="ARTICLE1er">
    <w:name w:val="ARTICLE 1er"/>
    <w:basedOn w:val="ARTICLE"/>
    <w:next w:val="Normal"/>
    <w:qFormat/>
    <w:pPr>
      <w:numPr>
        <w:ilvl w:val="0"/>
        <w:numId w:val="29"/>
      </w:numPr>
      <w:tabs>
        <w:tab w:val="left" w:pos="360" w:leader="none"/>
        <w:tab w:val="left" w:pos="1418" w:leader="none"/>
      </w:tabs>
      <w:ind w:hanging="851" w:start="851" w:end="0"/>
      <w:outlineLvl w:val="0"/>
    </w:pPr>
    <w:rPr/>
  </w:style>
  <w:style w:type="paragraph" w:styleId="BodyIndentF">
    <w:name w:val="Body IndentF"/>
    <w:basedOn w:val="Normal"/>
    <w:qFormat/>
    <w:pPr>
      <w:widowControl/>
      <w:spacing w:lineRule="auto" w:line="288" w:before="0" w:after="140"/>
      <w:ind w:hanging="0" w:start="851" w:end="0"/>
      <w:jc w:val="both"/>
    </w:pPr>
    <w:rPr>
      <w:rFonts w:ascii="Arial" w:hAnsi="Arial" w:cs="Arial"/>
      <w:sz w:val="20"/>
      <w:lang w:val="fr-FR" w:eastAsia="en-CA"/>
    </w:rPr>
  </w:style>
  <w:style w:type="paragraph" w:styleId="BulletF">
    <w:name w:val="BulletF"/>
    <w:basedOn w:val="BodyIndentF"/>
    <w:qFormat/>
    <w:pPr>
      <w:numPr>
        <w:ilvl w:val="0"/>
        <w:numId w:val="21"/>
      </w:numPr>
      <w:tabs>
        <w:tab w:val="clear" w:pos="720"/>
      </w:tabs>
    </w:pPr>
    <w:rPr/>
  </w:style>
  <w:style w:type="paragraph" w:styleId="BodyF">
    <w:name w:val="BodyF"/>
    <w:basedOn w:val="Normal"/>
    <w:qFormat/>
    <w:pPr>
      <w:widowControl/>
      <w:spacing w:lineRule="auto" w:line="288" w:before="0" w:after="140"/>
      <w:jc w:val="both"/>
    </w:pPr>
    <w:rPr>
      <w:rFonts w:ascii="Arial" w:hAnsi="Arial" w:cs="Arial"/>
      <w:sz w:val="20"/>
      <w:lang w:val="fr-FR" w:eastAsia="en-CA"/>
    </w:rPr>
  </w:style>
  <w:style w:type="paragraph" w:styleId="IBulletF">
    <w:name w:val="IBulletF"/>
    <w:basedOn w:val="BodyF"/>
    <w:qFormat/>
    <w:pPr>
      <w:numPr>
        <w:ilvl w:val="0"/>
        <w:numId w:val="11"/>
      </w:numPr>
    </w:pPr>
    <w:rPr/>
  </w:style>
  <w:style w:type="paragraph" w:styleId="Level1F">
    <w:name w:val="Level 1F"/>
    <w:basedOn w:val="Normal"/>
    <w:qFormat/>
    <w:pPr>
      <w:widowControl/>
      <w:numPr>
        <w:ilvl w:val="0"/>
        <w:numId w:val="19"/>
      </w:numPr>
      <w:spacing w:lineRule="auto" w:line="288" w:before="0" w:after="140"/>
      <w:jc w:val="both"/>
      <w:outlineLvl w:val="0"/>
    </w:pPr>
    <w:rPr>
      <w:rFonts w:ascii="Arial" w:hAnsi="Arial" w:cs="Arial"/>
      <w:kern w:val="2"/>
      <w:sz w:val="20"/>
      <w:lang w:val="fr-FR" w:eastAsia="en-CA"/>
    </w:rPr>
  </w:style>
  <w:style w:type="paragraph" w:styleId="Level2F">
    <w:name w:val="Level 2F"/>
    <w:basedOn w:val="Normal"/>
    <w:qFormat/>
    <w:pPr>
      <w:widowControl/>
      <w:numPr>
        <w:ilvl w:val="0"/>
        <w:numId w:val="19"/>
      </w:numPr>
      <w:spacing w:lineRule="auto" w:line="288" w:before="0" w:after="140"/>
      <w:jc w:val="both"/>
      <w:outlineLvl w:val="1"/>
    </w:pPr>
    <w:rPr>
      <w:rFonts w:ascii="Arial" w:hAnsi="Arial" w:cs="Arial"/>
      <w:kern w:val="2"/>
      <w:sz w:val="20"/>
      <w:lang w:val="fr-FR" w:eastAsia="en-CA"/>
    </w:rPr>
  </w:style>
  <w:style w:type="paragraph" w:styleId="Level3F">
    <w:name w:val="Level 3F"/>
    <w:basedOn w:val="Normal"/>
    <w:qFormat/>
    <w:pPr>
      <w:widowControl/>
      <w:numPr>
        <w:ilvl w:val="0"/>
        <w:numId w:val="19"/>
      </w:numPr>
      <w:spacing w:lineRule="auto" w:line="288" w:before="0" w:after="140"/>
      <w:jc w:val="both"/>
      <w:outlineLvl w:val="2"/>
    </w:pPr>
    <w:rPr>
      <w:rFonts w:ascii="Arial" w:hAnsi="Arial" w:cs="Arial"/>
      <w:kern w:val="2"/>
      <w:sz w:val="20"/>
      <w:lang w:val="fr-FR" w:eastAsia="en-CA"/>
    </w:rPr>
  </w:style>
  <w:style w:type="paragraph" w:styleId="Level4F">
    <w:name w:val="Level 4F"/>
    <w:basedOn w:val="Normal"/>
    <w:qFormat/>
    <w:pPr>
      <w:widowControl/>
      <w:numPr>
        <w:ilvl w:val="0"/>
        <w:numId w:val="19"/>
      </w:numPr>
      <w:spacing w:lineRule="auto" w:line="288" w:before="0" w:after="140"/>
      <w:jc w:val="both"/>
      <w:outlineLvl w:val="3"/>
    </w:pPr>
    <w:rPr>
      <w:rFonts w:ascii="Arial" w:hAnsi="Arial" w:cs="Arial"/>
      <w:kern w:val="2"/>
      <w:sz w:val="20"/>
      <w:lang w:val="fr-FR" w:eastAsia="en-CA"/>
    </w:rPr>
  </w:style>
  <w:style w:type="paragraph" w:styleId="Level5F">
    <w:name w:val="Level 5F"/>
    <w:basedOn w:val="Normal"/>
    <w:qFormat/>
    <w:pPr>
      <w:widowControl/>
      <w:numPr>
        <w:ilvl w:val="0"/>
        <w:numId w:val="19"/>
      </w:numPr>
      <w:spacing w:lineRule="auto" w:line="288" w:before="0" w:after="140"/>
      <w:jc w:val="both"/>
      <w:outlineLvl w:val="4"/>
    </w:pPr>
    <w:rPr>
      <w:rFonts w:ascii="Arial" w:hAnsi="Arial" w:cs="Arial"/>
      <w:kern w:val="2"/>
      <w:sz w:val="20"/>
      <w:lang w:val="fr-FR" w:eastAsia="en-CA"/>
    </w:rPr>
  </w:style>
  <w:style w:type="paragraph" w:styleId="PartiesF">
    <w:name w:val="PartiesF"/>
    <w:basedOn w:val="Normal"/>
    <w:qFormat/>
    <w:pPr>
      <w:widowControl/>
      <w:numPr>
        <w:ilvl w:val="0"/>
        <w:numId w:val="8"/>
      </w:numPr>
      <w:spacing w:lineRule="auto" w:line="288" w:before="0" w:after="140"/>
      <w:jc w:val="both"/>
    </w:pPr>
    <w:rPr>
      <w:rFonts w:ascii="Arial" w:hAnsi="Arial" w:cs="Arial"/>
      <w:kern w:val="2"/>
      <w:sz w:val="20"/>
      <w:lang w:val="fr-FR" w:eastAsia="en-CA"/>
    </w:rPr>
  </w:style>
  <w:style w:type="paragraph" w:styleId="RecitalF">
    <w:name w:val="RecitalF"/>
    <w:basedOn w:val="Normal"/>
    <w:qFormat/>
    <w:pPr>
      <w:widowControl/>
      <w:numPr>
        <w:ilvl w:val="0"/>
        <w:numId w:val="22"/>
      </w:numPr>
      <w:spacing w:lineRule="auto" w:line="288" w:before="0" w:after="140"/>
      <w:jc w:val="both"/>
    </w:pPr>
    <w:rPr>
      <w:rFonts w:ascii="Arial" w:hAnsi="Arial" w:cs="Arial"/>
      <w:sz w:val="20"/>
      <w:lang w:val="fr-FR" w:eastAsia="en-CA"/>
    </w:rPr>
  </w:style>
  <w:style w:type="paragraph" w:styleId="romanF">
    <w:name w:val="romanF"/>
    <w:basedOn w:val="Normal"/>
    <w:qFormat/>
    <w:pPr>
      <w:widowControl/>
      <w:numPr>
        <w:ilvl w:val="0"/>
        <w:numId w:val="24"/>
      </w:numPr>
      <w:tabs>
        <w:tab w:val="clear" w:pos="720"/>
        <w:tab w:val="left" w:pos="1985" w:leader="none"/>
      </w:tabs>
      <w:spacing w:lineRule="auto" w:line="288" w:before="0" w:after="140"/>
      <w:jc w:val="both"/>
    </w:pPr>
    <w:rPr>
      <w:rFonts w:ascii="Arial" w:hAnsi="Arial" w:cs="Arial"/>
      <w:kern w:val="2"/>
      <w:sz w:val="20"/>
      <w:lang w:val="fr-FR" w:eastAsia="en-CA"/>
    </w:rPr>
  </w:style>
  <w:style w:type="paragraph" w:styleId="BodyTextIndent3">
    <w:name w:val="Body Text Indent 3"/>
    <w:basedOn w:val="Normal"/>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footer" Target="footer24.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header" Target="header29.xml"/><Relationship Id="rId58" Type="http://schemas.openxmlformats.org/officeDocument/2006/relationships/footer" Target="footer28.xml"/><Relationship Id="rId59" Type="http://schemas.openxmlformats.org/officeDocument/2006/relationships/footer" Target="footer29.xml"/><Relationship Id="rId60" Type="http://schemas.openxmlformats.org/officeDocument/2006/relationships/header" Target="header30.xml"/><Relationship Id="rId61" Type="http://schemas.openxmlformats.org/officeDocument/2006/relationships/header" Target="header31.xml"/><Relationship Id="rId62" Type="http://schemas.openxmlformats.org/officeDocument/2006/relationships/footer" Target="footer30.xml"/><Relationship Id="rId63" Type="http://schemas.openxmlformats.org/officeDocument/2006/relationships/footer" Target="footer31.xml"/><Relationship Id="rId64" Type="http://schemas.openxmlformats.org/officeDocument/2006/relationships/header" Target="header32.xml"/><Relationship Id="rId65" Type="http://schemas.openxmlformats.org/officeDocument/2006/relationships/header" Target="header33.xml"/><Relationship Id="rId66" Type="http://schemas.openxmlformats.org/officeDocument/2006/relationships/footer" Target="footer32.xml"/><Relationship Id="rId67" Type="http://schemas.openxmlformats.org/officeDocument/2006/relationships/footer" Target="footer33.xml"/><Relationship Id="rId68" Type="http://schemas.openxmlformats.org/officeDocument/2006/relationships/header" Target="header34.xml"/><Relationship Id="rId69" Type="http://schemas.openxmlformats.org/officeDocument/2006/relationships/header" Target="header35.xml"/><Relationship Id="rId70" Type="http://schemas.openxmlformats.org/officeDocument/2006/relationships/footer" Target="footer34.xml"/><Relationship Id="rId71" Type="http://schemas.openxmlformats.org/officeDocument/2006/relationships/footer" Target="footer35.xml"/><Relationship Id="rId72" Type="http://schemas.openxmlformats.org/officeDocument/2006/relationships/header" Target="header36.xml"/><Relationship Id="rId73" Type="http://schemas.openxmlformats.org/officeDocument/2006/relationships/header" Target="header37.xml"/><Relationship Id="rId74" Type="http://schemas.openxmlformats.org/officeDocument/2006/relationships/footer" Target="footer36.xml"/><Relationship Id="rId75" Type="http://schemas.openxmlformats.org/officeDocument/2006/relationships/footer" Target="footer37.xml"/><Relationship Id="rId76" Type="http://schemas.openxmlformats.org/officeDocument/2006/relationships/header" Target="header38.xml"/><Relationship Id="rId77" Type="http://schemas.openxmlformats.org/officeDocument/2006/relationships/header" Target="header39.xml"/><Relationship Id="rId78" Type="http://schemas.openxmlformats.org/officeDocument/2006/relationships/footer" Target="footer38.xml"/><Relationship Id="rId79" Type="http://schemas.openxmlformats.org/officeDocument/2006/relationships/footer" Target="footer39.xml"/><Relationship Id="rId80" Type="http://schemas.openxmlformats.org/officeDocument/2006/relationships/header" Target="header40.xml"/><Relationship Id="rId81" Type="http://schemas.openxmlformats.org/officeDocument/2006/relationships/header" Target="header41.xml"/><Relationship Id="rId82" Type="http://schemas.openxmlformats.org/officeDocument/2006/relationships/footer" Target="footer40.xml"/><Relationship Id="rId83" Type="http://schemas.openxmlformats.org/officeDocument/2006/relationships/footer" Target="footer41.xml"/><Relationship Id="rId84" Type="http://schemas.openxmlformats.org/officeDocument/2006/relationships/header" Target="header42.xml"/><Relationship Id="rId85" Type="http://schemas.openxmlformats.org/officeDocument/2006/relationships/header" Target="header43.xml"/><Relationship Id="rId86" Type="http://schemas.openxmlformats.org/officeDocument/2006/relationships/footer" Target="footer42.xml"/><Relationship Id="rId87" Type="http://schemas.openxmlformats.org/officeDocument/2006/relationships/footer" Target="footer43.xml"/><Relationship Id="rId88" Type="http://schemas.openxmlformats.org/officeDocument/2006/relationships/header" Target="header44.xml"/><Relationship Id="rId89" Type="http://schemas.openxmlformats.org/officeDocument/2006/relationships/header" Target="header45.xml"/><Relationship Id="rId90" Type="http://schemas.openxmlformats.org/officeDocument/2006/relationships/footer" Target="footer44.xml"/><Relationship Id="rId91" Type="http://schemas.openxmlformats.org/officeDocument/2006/relationships/footer" Target="footer45.xml"/><Relationship Id="rId92" Type="http://schemas.openxmlformats.org/officeDocument/2006/relationships/header" Target="header46.xml"/><Relationship Id="rId93" Type="http://schemas.openxmlformats.org/officeDocument/2006/relationships/header" Target="header47.xml"/><Relationship Id="rId94" Type="http://schemas.openxmlformats.org/officeDocument/2006/relationships/footer" Target="footer46.xml"/><Relationship Id="rId95" Type="http://schemas.openxmlformats.org/officeDocument/2006/relationships/footer" Target="footer47.xml"/><Relationship Id="rId96" Type="http://schemas.openxmlformats.org/officeDocument/2006/relationships/header" Target="header48.xml"/><Relationship Id="rId97" Type="http://schemas.openxmlformats.org/officeDocument/2006/relationships/header" Target="header49.xml"/><Relationship Id="rId98" Type="http://schemas.openxmlformats.org/officeDocument/2006/relationships/footer" Target="footer48.xml"/><Relationship Id="rId99" Type="http://schemas.openxmlformats.org/officeDocument/2006/relationships/footer" Target="footer49.xml"/><Relationship Id="rId100" Type="http://schemas.openxmlformats.org/officeDocument/2006/relationships/numbering" Target="numbering.xml"/><Relationship Id="rId101" Type="http://schemas.openxmlformats.org/officeDocument/2006/relationships/fontTable" Target="fontTable.xml"/><Relationship Id="rId102" Type="http://schemas.openxmlformats.org/officeDocument/2006/relationships/settings" Target="settings.xml"/><Relationship Id="rId10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2000-07-31T22:32:00Z</dcterms:created>
  <dc:creator>EI</dc:creator>
  <dc:description/>
  <dc:language>en-CA</dc:language>
  <cp:lastModifiedBy>Ken Fenelon</cp:lastModifiedBy>
  <cp:lastPrinted>2000-07-21T19:52:00Z</cp:lastPrinted>
  <dcterms:modified xsi:type="dcterms:W3CDTF">2000-07-31T22:32:00Z</dcterms:modified>
  <cp:revision>2</cp:revision>
  <dc:subject/>
  <dc:title>DRAFT</dc:title>
</cp:coreProperties>
</file>