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4"/>
        </w:numPr>
        <w:rPr>
          <w:b/>
          <w:sz w:val="28"/>
        </w:rPr>
      </w:pPr>
      <w:r>
        <w:rPr>
          <w:b/>
          <w:sz w:val="28"/>
        </w:rPr>
        <w:t>Interconnection Rules</w:t>
      </w:r>
    </w:p>
    <w:p>
      <w:pPr>
        <w:pStyle w:val="Normal"/>
        <w:rPr>
          <w:b/>
          <w:sz w:val="28"/>
        </w:rPr>
      </w:pPr>
      <w:r>
        <w:rPr>
          <w:b/>
          <w:sz w:val="28"/>
        </w:rPr>
      </w:r>
    </w:p>
    <w:p>
      <w:pPr>
        <w:pStyle w:val="Heading1"/>
        <w:ind w:start="0" w:end="0"/>
        <w:rPr/>
      </w:pPr>
      <w:r>
        <w:rPr/>
        <w:t>Background</w:t>
      </w:r>
    </w:p>
    <w:p>
      <w:pPr>
        <w:pStyle w:val="Normal"/>
        <w:numPr>
          <w:ilvl w:val="0"/>
          <w:numId w:val="7"/>
        </w:numPr>
        <w:tabs>
          <w:tab w:val="left" w:pos="720" w:leader="none"/>
        </w:tabs>
        <w:ind w:hanging="360" w:start="720" w:end="0"/>
        <w:rPr/>
      </w:pPr>
      <w:r>
        <w:rPr/>
        <w:t>Energy transactions on the interconnections do not align with the ex-post real time market design</w:t>
      </w:r>
    </w:p>
    <w:p>
      <w:pPr>
        <w:pStyle w:val="Normal"/>
        <w:numPr>
          <w:ilvl w:val="0"/>
          <w:numId w:val="7"/>
        </w:numPr>
        <w:tabs>
          <w:tab w:val="left" w:pos="720" w:leader="none"/>
        </w:tabs>
        <w:ind w:hanging="360" w:start="720" w:end="0"/>
        <w:rPr/>
      </w:pPr>
      <w:r>
        <w:rPr/>
        <w:t>Energy transactions are delivered on a one hour firm basis while the RT market expects immediate dispatch response</w:t>
      </w:r>
    </w:p>
    <w:p>
      <w:pPr>
        <w:pStyle w:val="Normal"/>
        <w:numPr>
          <w:ilvl w:val="0"/>
          <w:numId w:val="7"/>
        </w:numPr>
        <w:tabs>
          <w:tab w:val="left" w:pos="720" w:leader="none"/>
        </w:tabs>
        <w:ind w:hanging="360" w:start="720" w:end="0"/>
        <w:rPr/>
      </w:pPr>
      <w:r>
        <w:rPr/>
        <w:t>Competing energy markets provide a significantly higher level of price certainty and as a result a “risk premium” is incorporated into the import offers to Alberta</w:t>
      </w:r>
    </w:p>
    <w:p>
      <w:pPr>
        <w:pStyle w:val="Normal"/>
        <w:numPr>
          <w:ilvl w:val="0"/>
          <w:numId w:val="7"/>
        </w:numPr>
        <w:tabs>
          <w:tab w:val="left" w:pos="720" w:leader="none"/>
        </w:tabs>
        <w:ind w:hanging="360" w:start="720" w:end="0"/>
        <w:rPr/>
      </w:pPr>
      <w:r>
        <w:rPr/>
        <w:t>The current Pool Rules do not provide flexibility for restatements of pricing – important when there are competing markets that permit this</w:t>
      </w:r>
    </w:p>
    <w:p>
      <w:pPr>
        <w:pStyle w:val="Normal"/>
        <w:numPr>
          <w:ilvl w:val="0"/>
          <w:numId w:val="7"/>
        </w:numPr>
        <w:tabs>
          <w:tab w:val="left" w:pos="720" w:leader="none"/>
        </w:tabs>
        <w:ind w:hanging="360" w:start="720" w:end="0"/>
        <w:rPr/>
      </w:pPr>
      <w:r>
        <w:rPr/>
        <w:t>In BC there is an “open access” tariff; however, there are no limits on ownership of transmission and BCH/Powerex enjoys a competitive advantage over other marketers through the use of network economy</w:t>
      </w:r>
    </w:p>
    <w:p>
      <w:pPr>
        <w:pStyle w:val="Normal"/>
        <w:numPr>
          <w:ilvl w:val="0"/>
          <w:numId w:val="7"/>
        </w:numPr>
        <w:tabs>
          <w:tab w:val="left" w:pos="720" w:leader="none"/>
        </w:tabs>
        <w:ind w:hanging="360" w:start="720" w:end="0"/>
        <w:rPr/>
      </w:pPr>
      <w:r>
        <w:rPr/>
        <w:t>Some suggest that Powerex can control access to Alberta</w:t>
      </w:r>
    </w:p>
    <w:p>
      <w:pPr>
        <w:pStyle w:val="Normal"/>
        <w:numPr>
          <w:ilvl w:val="0"/>
          <w:numId w:val="7"/>
        </w:numPr>
        <w:tabs>
          <w:tab w:val="left" w:pos="720" w:leader="none"/>
        </w:tabs>
        <w:ind w:hanging="360" w:start="720" w:end="0"/>
        <w:rPr/>
      </w:pPr>
      <w:r>
        <w:rPr/>
        <w:t>There is no “open access” tariff in Saskatchewan – access to Alberta is controlled by SaskPower</w:t>
      </w:r>
    </w:p>
    <w:p>
      <w:pPr>
        <w:pStyle w:val="Normal"/>
        <w:numPr>
          <w:ilvl w:val="0"/>
          <w:numId w:val="7"/>
        </w:numPr>
        <w:tabs>
          <w:tab w:val="left" w:pos="720" w:leader="none"/>
        </w:tabs>
        <w:ind w:hanging="360" w:start="720" w:end="0"/>
        <w:rPr/>
      </w:pPr>
      <w:r>
        <w:rPr/>
        <w:t>The “misaligned” markets and access problems negatively impact the RT Pool Price</w:t>
      </w:r>
    </w:p>
    <w:p>
      <w:pPr>
        <w:pStyle w:val="Normal"/>
        <w:numPr>
          <w:ilvl w:val="0"/>
          <w:numId w:val="7"/>
        </w:numPr>
        <w:tabs>
          <w:tab w:val="left" w:pos="720" w:leader="none"/>
        </w:tabs>
        <w:ind w:hanging="360" w:start="720" w:end="0"/>
        <w:rPr>
          <w:b/>
          <w:i/>
          <w:i/>
          <w:u w:val="single"/>
        </w:rPr>
      </w:pPr>
      <w:r>
        <w:rPr>
          <w:b/>
          <w:i/>
          <w:u w:val="single"/>
        </w:rPr>
        <w:t>Energy on the interconnections is critical to system security so any proposed rule changes should not result in a barrier to imported energy</w:t>
      </w:r>
    </w:p>
    <w:p>
      <w:pPr>
        <w:pStyle w:val="Normal"/>
        <w:ind w:start="360" w:end="0"/>
        <w:rPr>
          <w:b/>
          <w:i/>
          <w:i/>
          <w:u w:val="single"/>
        </w:rPr>
      </w:pPr>
      <w:r>
        <w:rPr>
          <w:b/>
          <w:i/>
          <w:u w:val="single"/>
        </w:rPr>
      </w:r>
    </w:p>
    <w:p>
      <w:pPr>
        <w:pStyle w:val="Normal"/>
        <w:rPr/>
      </w:pPr>
      <w:r>
        <w:rPr>
          <w:b/>
        </w:rPr>
        <w:t>Proposed</w:t>
      </w:r>
      <w:r>
        <w:rPr/>
        <w:t xml:space="preserve"> </w:t>
      </w:r>
      <w:r>
        <w:rPr>
          <w:b/>
        </w:rPr>
        <w:t>Action</w:t>
      </w:r>
    </w:p>
    <w:p>
      <w:pPr>
        <w:pStyle w:val="Normal"/>
        <w:numPr>
          <w:ilvl w:val="0"/>
          <w:numId w:val="9"/>
        </w:numPr>
        <w:tabs>
          <w:tab w:val="left" w:pos="720" w:leader="none"/>
        </w:tabs>
        <w:ind w:hanging="360" w:start="720" w:end="0"/>
        <w:rPr/>
      </w:pPr>
      <w:r>
        <w:rPr/>
        <w:t>Remove the interconnected energy from the RT market by having the SC dispatch the interconnected energy one hour in advance of delivery</w:t>
      </w:r>
    </w:p>
    <w:p>
      <w:pPr>
        <w:pStyle w:val="Normal"/>
        <w:numPr>
          <w:ilvl w:val="0"/>
          <w:numId w:val="9"/>
        </w:numPr>
        <w:tabs>
          <w:tab w:val="left" w:pos="720" w:leader="none"/>
        </w:tabs>
        <w:ind w:hanging="360" w:start="720" w:end="0"/>
        <w:rPr/>
      </w:pPr>
      <w:r>
        <w:rPr/>
        <w:t>Dispatch is based on “offered” price relative to other offers and the forecasted supply requirement for the hour of delivery</w:t>
      </w:r>
    </w:p>
    <w:p>
      <w:pPr>
        <w:pStyle w:val="Normal"/>
        <w:numPr>
          <w:ilvl w:val="0"/>
          <w:numId w:val="9"/>
        </w:numPr>
        <w:tabs>
          <w:tab w:val="left" w:pos="720" w:leader="none"/>
        </w:tabs>
        <w:ind w:hanging="360" w:start="720" w:end="0"/>
        <w:rPr/>
      </w:pPr>
      <w:r>
        <w:rPr/>
        <w:t>Dispatched interconnection energy is paid the offered price and is guaranteed that price for the full hour of delivery</w:t>
      </w:r>
    </w:p>
    <w:p>
      <w:pPr>
        <w:pStyle w:val="Normal"/>
        <w:numPr>
          <w:ilvl w:val="0"/>
          <w:numId w:val="9"/>
        </w:numPr>
        <w:tabs>
          <w:tab w:val="left" w:pos="720" w:leader="none"/>
        </w:tabs>
        <w:ind w:hanging="360" w:start="720" w:end="0"/>
        <w:rPr/>
      </w:pPr>
      <w:r>
        <w:rPr/>
        <w:t>The cost of the imported energy will be recovered by an uplift to Buyers in the RT market based on their imbalances – should provide an incentive to Buyers to purchased energy in the forward markets</w:t>
      </w:r>
    </w:p>
    <w:p>
      <w:pPr>
        <w:pStyle w:val="Normal"/>
        <w:numPr>
          <w:ilvl w:val="0"/>
          <w:numId w:val="9"/>
        </w:numPr>
        <w:tabs>
          <w:tab w:val="left" w:pos="720" w:leader="none"/>
        </w:tabs>
        <w:ind w:hanging="360" w:start="720" w:end="0"/>
        <w:rPr/>
      </w:pPr>
      <w:r>
        <w:rPr/>
        <w:t>In a move towards an intra day market with rolling gate closure, importers will be able to update their offers to the market once every 4 hours</w:t>
      </w:r>
    </w:p>
    <w:p>
      <w:pPr>
        <w:pStyle w:val="Normal"/>
        <w:numPr>
          <w:ilvl w:val="0"/>
          <w:numId w:val="9"/>
        </w:numPr>
        <w:tabs>
          <w:tab w:val="left" w:pos="720" w:leader="none"/>
        </w:tabs>
        <w:ind w:hanging="360" w:start="720" w:end="0"/>
        <w:rPr/>
      </w:pPr>
      <w:r>
        <w:rPr/>
        <w:t>Import offers not dispatched can not be a price taker</w:t>
      </w:r>
    </w:p>
    <w:p>
      <w:pPr>
        <w:pStyle w:val="Normal"/>
        <w:numPr>
          <w:ilvl w:val="0"/>
          <w:numId w:val="9"/>
        </w:numPr>
        <w:tabs>
          <w:tab w:val="left" w:pos="720" w:leader="none"/>
        </w:tabs>
        <w:ind w:hanging="360" w:start="720" w:end="0"/>
        <w:rPr>
          <w:i/>
          <w:i/>
        </w:rPr>
      </w:pPr>
      <w:r>
        <w:rPr>
          <w:i/>
        </w:rPr>
        <w:t>Optional – on the BC interconnection, all unused transmission will be resold based on offers into the RT merit order – note: any energy dispatched will be subject to the current rules of the Power Pool except that it would not be eligible to set the RT Pool Price</w:t>
      </w:r>
    </w:p>
    <w:p>
      <w:pPr>
        <w:pStyle w:val="Normal"/>
        <w:numPr>
          <w:ilvl w:val="0"/>
          <w:numId w:val="9"/>
        </w:numPr>
        <w:tabs>
          <w:tab w:val="left" w:pos="720" w:leader="none"/>
        </w:tabs>
        <w:ind w:hanging="360" w:start="720" w:end="0"/>
        <w:rPr/>
      </w:pPr>
      <w:r>
        <w:rPr/>
        <w:t>Note: the SC will have the authority to dispatch more energy on the interconnections than was dispatched on the hour ahead basis and recover the cost of this energy as per the above normal market operations</w:t>
      </w:r>
    </w:p>
    <w:p>
      <w:pPr>
        <w:pStyle w:val="Normal"/>
        <w:numPr>
          <w:ilvl w:val="0"/>
          <w:numId w:val="9"/>
        </w:numPr>
        <w:tabs>
          <w:tab w:val="left" w:pos="720" w:leader="none"/>
        </w:tabs>
        <w:ind w:hanging="360" w:start="720" w:end="0"/>
        <w:rPr/>
      </w:pPr>
      <w:r>
        <w:rPr/>
        <w:t>The interconnections will be able to enter into Direct Sales and transact in the Forward Markets</w:t>
      </w:r>
    </w:p>
    <w:p>
      <w:pPr>
        <w:pStyle w:val="Normal"/>
        <w:ind w:start="360" w:end="0"/>
        <w:rPr/>
      </w:pPr>
      <w:r>
        <w:rPr/>
      </w:r>
    </w:p>
    <w:p>
      <w:pPr>
        <w:pStyle w:val="Normal"/>
        <w:numPr>
          <w:ilvl w:val="0"/>
          <w:numId w:val="4"/>
        </w:numPr>
        <w:rPr>
          <w:b/>
          <w:sz w:val="28"/>
        </w:rPr>
      </w:pPr>
      <w:r>
        <w:rPr>
          <w:b/>
          <w:sz w:val="28"/>
        </w:rPr>
        <w:t>Dispatch Risk</w:t>
      </w:r>
    </w:p>
    <w:p>
      <w:pPr>
        <w:pStyle w:val="Normal"/>
        <w:rPr>
          <w:b/>
          <w:sz w:val="28"/>
        </w:rPr>
      </w:pPr>
      <w:r>
        <w:rPr>
          <w:b/>
          <w:sz w:val="28"/>
        </w:rPr>
      </w:r>
    </w:p>
    <w:p>
      <w:pPr>
        <w:pStyle w:val="Heading1"/>
        <w:ind w:start="0" w:end="0"/>
        <w:rPr/>
      </w:pPr>
      <w:r>
        <w:rPr/>
        <w:t>Background</w:t>
      </w:r>
    </w:p>
    <w:p>
      <w:pPr>
        <w:pStyle w:val="Normal"/>
        <w:numPr>
          <w:ilvl w:val="0"/>
          <w:numId w:val="5"/>
        </w:numPr>
        <w:tabs>
          <w:tab w:val="left" w:pos="720" w:leader="none"/>
        </w:tabs>
        <w:ind w:hanging="360" w:start="720" w:end="0"/>
        <w:rPr/>
      </w:pPr>
      <w:r>
        <w:rPr/>
        <w:t>At present supplier face little risk with respect to either price or volume as they may become a “price taker” and deliver the offered energy even though they are not dispatched</w:t>
      </w:r>
    </w:p>
    <w:p>
      <w:pPr>
        <w:pStyle w:val="Normal"/>
        <w:numPr>
          <w:ilvl w:val="0"/>
          <w:numId w:val="5"/>
        </w:numPr>
        <w:tabs>
          <w:tab w:val="left" w:pos="720" w:leader="none"/>
        </w:tabs>
        <w:ind w:hanging="360" w:start="720" w:end="0"/>
        <w:rPr/>
      </w:pPr>
      <w:r>
        <w:rPr/>
        <w:t>This leads to speculation that places upward pressure on RT Pool Price</w:t>
      </w:r>
    </w:p>
    <w:p>
      <w:pPr>
        <w:pStyle w:val="Normal"/>
        <w:rPr/>
      </w:pPr>
      <w:r>
        <w:rPr/>
      </w:r>
    </w:p>
    <w:p>
      <w:pPr>
        <w:pStyle w:val="Heading1"/>
        <w:ind w:start="0" w:end="0"/>
        <w:rPr/>
      </w:pPr>
      <w:r>
        <w:rPr/>
        <w:t>Proposed Action</w:t>
      </w:r>
    </w:p>
    <w:p>
      <w:pPr>
        <w:pStyle w:val="Normal"/>
        <w:numPr>
          <w:ilvl w:val="0"/>
          <w:numId w:val="2"/>
        </w:numPr>
        <w:tabs>
          <w:tab w:val="left" w:pos="720" w:leader="none"/>
        </w:tabs>
        <w:ind w:hanging="360" w:start="720" w:end="0"/>
        <w:rPr/>
      </w:pPr>
      <w:r>
        <w:rPr/>
        <w:t>To modify the Rules so as  to impose more dispatch risk on the supplier thereby encouraging more disciplined offers in the RT market</w:t>
      </w:r>
    </w:p>
    <w:p>
      <w:pPr>
        <w:pStyle w:val="Normal"/>
        <w:numPr>
          <w:ilvl w:val="0"/>
          <w:numId w:val="2"/>
        </w:numPr>
        <w:tabs>
          <w:tab w:val="left" w:pos="720" w:leader="none"/>
        </w:tabs>
        <w:ind w:hanging="360" w:start="720" w:end="0"/>
        <w:rPr/>
      </w:pPr>
      <w:r>
        <w:rPr/>
        <w:t>Two options</w:t>
      </w:r>
    </w:p>
    <w:p>
      <w:pPr>
        <w:pStyle w:val="Normal"/>
        <w:numPr>
          <w:ilvl w:val="0"/>
          <w:numId w:val="2"/>
        </w:numPr>
        <w:tabs>
          <w:tab w:val="clear" w:pos="720"/>
          <w:tab w:val="left" w:pos="1080" w:leader="none"/>
        </w:tabs>
        <w:ind w:hanging="360" w:start="1080" w:end="0"/>
        <w:rPr/>
      </w:pPr>
      <w:r>
        <w:rPr/>
        <w:t xml:space="preserve">#1 -- If the suppler is not dispatched they may not deliver the offered energy </w:t>
      </w:r>
    </w:p>
    <w:p>
      <w:pPr>
        <w:pStyle w:val="Normal"/>
        <w:numPr>
          <w:ilvl w:val="0"/>
          <w:numId w:val="2"/>
        </w:numPr>
        <w:tabs>
          <w:tab w:val="clear" w:pos="720"/>
          <w:tab w:val="left" w:pos="1080" w:leader="none"/>
        </w:tabs>
        <w:ind w:hanging="360" w:start="1080" w:end="0"/>
        <w:rPr/>
      </w:pPr>
      <w:r>
        <w:rPr/>
        <w:t>#2 – If a supplier is not dispatched they may become a price taker but would remain a price taker the remainder of the trading day</w:t>
      </w:r>
    </w:p>
    <w:p>
      <w:pPr>
        <w:pStyle w:val="Normal"/>
        <w:numPr>
          <w:ilvl w:val="0"/>
          <w:numId w:val="2"/>
        </w:numPr>
        <w:tabs>
          <w:tab w:val="left" w:pos="720" w:leader="none"/>
        </w:tabs>
        <w:ind w:hanging="360" w:start="720" w:end="0"/>
        <w:rPr/>
      </w:pPr>
      <w:r>
        <w:rPr/>
        <w:t>SC would have the authority to allow the supplier to be a “price taker” based on system security assessments done in RT</w:t>
      </w:r>
    </w:p>
    <w:p>
      <w:pPr>
        <w:pStyle w:val="Normal"/>
        <w:ind w:start="360" w:end="0"/>
        <w:rPr/>
      </w:pPr>
      <w:r>
        <w:rPr/>
      </w:r>
    </w:p>
    <w:p>
      <w:pPr>
        <w:pStyle w:val="Normal"/>
        <w:numPr>
          <w:ilvl w:val="0"/>
          <w:numId w:val="4"/>
        </w:numPr>
        <w:rPr>
          <w:b/>
          <w:sz w:val="28"/>
        </w:rPr>
      </w:pPr>
      <w:r>
        <w:rPr>
          <w:b/>
          <w:sz w:val="28"/>
        </w:rPr>
        <w:t>Mandatory Forward Markets</w:t>
      </w:r>
    </w:p>
    <w:p>
      <w:pPr>
        <w:pStyle w:val="Heading1"/>
        <w:numPr>
          <w:ilvl w:val="0"/>
          <w:numId w:val="8"/>
        </w:numPr>
        <w:tabs>
          <w:tab w:val="left" w:pos="720" w:leader="none"/>
        </w:tabs>
        <w:ind w:hanging="360" w:start="720" w:end="0"/>
        <w:rPr>
          <w:b w:val="false"/>
        </w:rPr>
      </w:pPr>
      <w:r>
        <w:rPr>
          <w:b w:val="false"/>
        </w:rPr>
        <w:t xml:space="preserve">To be prepared </w:t>
      </w:r>
    </w:p>
    <w:p>
      <w:pPr>
        <w:pStyle w:val="Normal"/>
        <w:ind w:start="360" w:end="0"/>
        <w:rPr>
          <w:b/>
        </w:rPr>
      </w:pPr>
      <w:r>
        <w:rPr>
          <w:b/>
        </w:rPr>
      </w:r>
    </w:p>
    <w:p>
      <w:pPr>
        <w:pStyle w:val="Normal"/>
        <w:numPr>
          <w:ilvl w:val="0"/>
          <w:numId w:val="4"/>
        </w:numPr>
        <w:rPr>
          <w:b/>
          <w:sz w:val="28"/>
        </w:rPr>
      </w:pPr>
      <w:r>
        <w:rPr>
          <w:b/>
          <w:sz w:val="28"/>
        </w:rPr>
        <w:t>Intra Day Market</w:t>
      </w:r>
    </w:p>
    <w:p>
      <w:pPr>
        <w:pStyle w:val="Normal"/>
        <w:rPr>
          <w:b/>
          <w:sz w:val="28"/>
        </w:rPr>
      </w:pPr>
      <w:r>
        <w:rPr>
          <w:b/>
          <w:sz w:val="28"/>
        </w:rPr>
      </w:r>
    </w:p>
    <w:p>
      <w:pPr>
        <w:pStyle w:val="Heading1"/>
        <w:ind w:start="0" w:end="0"/>
        <w:rPr/>
      </w:pPr>
      <w:r>
        <w:rPr/>
        <w:t>Background</w:t>
      </w:r>
    </w:p>
    <w:p>
      <w:pPr>
        <w:pStyle w:val="Normal"/>
        <w:numPr>
          <w:ilvl w:val="0"/>
          <w:numId w:val="6"/>
        </w:numPr>
        <w:tabs>
          <w:tab w:val="left" w:pos="720" w:leader="none"/>
        </w:tabs>
        <w:ind w:hanging="360" w:start="720" w:end="0"/>
        <w:rPr/>
      </w:pPr>
      <w:r>
        <w:rPr/>
        <w:t>This is regarded as the best solution for fully integrating the interconnections into the Alberta spot market</w:t>
      </w:r>
    </w:p>
    <w:p>
      <w:pPr>
        <w:pStyle w:val="Normal"/>
        <w:numPr>
          <w:ilvl w:val="0"/>
          <w:numId w:val="6"/>
        </w:numPr>
        <w:tabs>
          <w:tab w:val="left" w:pos="720" w:leader="none"/>
        </w:tabs>
        <w:ind w:hanging="360" w:start="720" w:end="0"/>
        <w:rPr/>
      </w:pPr>
      <w:r>
        <w:rPr/>
        <w:t>Based on a rolling gate closure for bids an offers into the RT market</w:t>
      </w:r>
    </w:p>
    <w:p>
      <w:pPr>
        <w:pStyle w:val="Normal"/>
        <w:numPr>
          <w:ilvl w:val="0"/>
          <w:numId w:val="6"/>
        </w:numPr>
        <w:tabs>
          <w:tab w:val="left" w:pos="720" w:leader="none"/>
        </w:tabs>
        <w:ind w:hanging="360" w:start="720" w:end="0"/>
        <w:rPr/>
      </w:pPr>
      <w:r>
        <w:rPr/>
        <w:t>Should probably be based on a “binding” transaction that requires both buy and sell</w:t>
      </w:r>
    </w:p>
    <w:p>
      <w:pPr>
        <w:pStyle w:val="Normal"/>
        <w:numPr>
          <w:ilvl w:val="0"/>
          <w:numId w:val="6"/>
        </w:numPr>
        <w:tabs>
          <w:tab w:val="left" w:pos="720" w:leader="none"/>
        </w:tabs>
        <w:ind w:hanging="360" w:start="720" w:end="0"/>
        <w:rPr/>
      </w:pPr>
      <w:r>
        <w:rPr/>
        <w:t>Requires a wholesale change in market design that has many details to be implemented</w:t>
      </w:r>
    </w:p>
    <w:p>
      <w:pPr>
        <w:pStyle w:val="Normal"/>
        <w:numPr>
          <w:ilvl w:val="0"/>
          <w:numId w:val="6"/>
        </w:numPr>
        <w:tabs>
          <w:tab w:val="left" w:pos="720" w:leader="none"/>
        </w:tabs>
        <w:ind w:hanging="360" w:start="720" w:end="0"/>
        <w:rPr/>
      </w:pPr>
      <w:r>
        <w:rPr/>
        <w:t>Too complicated to implement in the near term</w:t>
      </w:r>
    </w:p>
    <w:p>
      <w:pPr>
        <w:pStyle w:val="Normal"/>
        <w:numPr>
          <w:ilvl w:val="0"/>
          <w:numId w:val="6"/>
        </w:numPr>
        <w:tabs>
          <w:tab w:val="left" w:pos="720" w:leader="none"/>
        </w:tabs>
        <w:ind w:hanging="360" w:start="720" w:end="0"/>
        <w:rPr/>
      </w:pPr>
      <w:r>
        <w:rPr/>
        <w:t>A high priority Pool project for 2001</w:t>
      </w:r>
    </w:p>
    <w:p>
      <w:pPr>
        <w:pStyle w:val="Normal"/>
        <w:rPr>
          <w:b/>
        </w:rPr>
      </w:pPr>
      <w:r>
        <w:rPr>
          <w:b/>
        </w:rPr>
      </w:r>
    </w:p>
    <w:p>
      <w:pPr>
        <w:pStyle w:val="Normal"/>
        <w:rPr>
          <w:b/>
          <w:sz w:val="28"/>
        </w:rPr>
      </w:pPr>
      <w:r>
        <w:rPr>
          <w:b/>
          <w:sz w:val="28"/>
        </w:rPr>
        <w:t>5. Price Cap</w:t>
      </w:r>
    </w:p>
    <w:p>
      <w:pPr>
        <w:pStyle w:val="Normal"/>
        <w:numPr>
          <w:ilvl w:val="0"/>
          <w:numId w:val="3"/>
        </w:numPr>
        <w:rPr/>
      </w:pPr>
      <w:r>
        <w:rPr/>
        <w:t>Price caps (hard or soft a la California) are the least desirable option</w:t>
      </w:r>
    </w:p>
    <w:p>
      <w:pPr>
        <w:pStyle w:val="Normal"/>
        <w:numPr>
          <w:ilvl w:val="0"/>
          <w:numId w:val="3"/>
        </w:numPr>
        <w:rPr/>
      </w:pPr>
      <w:r>
        <w:rPr/>
        <w:t>They must be held as the fall back potion if other more “market friendly” options are not seen to be affective.</w:t>
      </w:r>
    </w:p>
    <w:p>
      <w:pPr>
        <w:pStyle w:val="Normal"/>
        <w:rPr/>
      </w:pPr>
      <w:r>
        <w:rPr/>
      </w:r>
    </w:p>
    <w:p>
      <w:pPr>
        <w:pStyle w:val="Normal"/>
        <w:rPr/>
      </w:pPr>
      <w:r>
        <w:rPr/>
        <w:t xml:space="preserve">Prepared by: </w:t>
      </w:r>
    </w:p>
    <w:p>
      <w:pPr>
        <w:pStyle w:val="Normal"/>
        <w:rPr/>
      </w:pPr>
      <w:r>
        <w:rPr/>
        <w:t>Power Pool of Alberta</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Power Pool of Alberta</w:t>
      <w:tab/>
      <w:tab/>
      <w:t>November 9,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Preliminary Draft</w:t>
      <w:tab/>
      <w:tab/>
      <w:t>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2000-11-09T22:11:00Z</dcterms:created>
  <dc:creator>mcmastd</dc:creator>
  <dc:description/>
  <dc:language>en-CA</dc:language>
  <cp:lastModifiedBy>mcmastd</cp:lastModifiedBy>
  <cp:lastPrinted>2000-11-09T13:24:00Z</cp:lastPrinted>
  <dcterms:modified xsi:type="dcterms:W3CDTF">2000-11-09T22:18:00Z</dcterms:modified>
  <cp:revision>6</cp:revision>
  <dc:subject/>
  <dc:title>1</dc:title>
</cp:coreProperties>
</file>