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tbl>
      <w:tblPr>
        <w:tblW w:w="920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01"/>
        <w:gridCol w:w="4601"/>
      </w:tblGrid>
      <w:tr>
        <w:trPr/>
        <w:tc>
          <w:tcPr>
            <w:tcW w:w="4601" w:type="dxa"/>
            <w:tcBorders/>
          </w:tcPr>
          <w:p>
            <w:pPr>
              <w:pStyle w:val="Head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94410" cy="98742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98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  <w:tcBorders/>
          </w:tcPr>
          <w:p>
            <w:pPr>
              <w:pStyle w:val="Header"/>
              <w:snapToGrid w:val="false"/>
              <w:ind w:start="1969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Header"/>
              <w:ind w:start="1969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Header"/>
              <w:ind w:start="1969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Enron North America Corp.</w:t>
            </w:r>
          </w:p>
          <w:p>
            <w:pPr>
              <w:pStyle w:val="Header"/>
              <w:ind w:start="1969" w:end="0"/>
              <w:rPr>
                <w:rFonts w:ascii="Arial" w:hAnsi="Arial" w:cs="Arial"/>
                <w:i/>
                <w:i/>
                <w:sz w:val="16"/>
              </w:rPr>
            </w:pPr>
            <w:r>
              <w:rPr>
                <w:rFonts w:cs="Arial" w:ascii="Arial" w:hAnsi="Arial"/>
                <w:i/>
                <w:sz w:val="16"/>
              </w:rPr>
              <w:t>P.O. Box 1188</w:t>
            </w:r>
          </w:p>
          <w:p>
            <w:pPr>
              <w:pStyle w:val="Header"/>
              <w:ind w:start="1969" w:end="0"/>
              <w:rPr>
                <w:rFonts w:ascii="Arial" w:hAnsi="Arial" w:cs="Arial"/>
                <w:i/>
                <w:i/>
                <w:sz w:val="16"/>
              </w:rPr>
            </w:pPr>
            <w:r>
              <w:rPr>
                <w:rFonts w:cs="Arial" w:ascii="Arial" w:hAnsi="Arial"/>
                <w:i/>
                <w:sz w:val="16"/>
              </w:rPr>
              <w:t>Houston, TX  77251-1188</w:t>
            </w:r>
          </w:p>
          <w:p>
            <w:pPr>
              <w:pStyle w:val="Header"/>
              <w:ind w:start="1969" w:end="0"/>
              <w:rPr>
                <w:rFonts w:ascii="Arial" w:hAnsi="Arial" w:cs="Arial"/>
                <w:i/>
                <w:i/>
                <w:sz w:val="16"/>
              </w:rPr>
            </w:pPr>
            <w:r>
              <w:rPr>
                <w:rFonts w:cs="Arial" w:ascii="Arial" w:hAnsi="Arial"/>
                <w:i/>
                <w:sz w:val="16"/>
              </w:rPr>
            </w:r>
          </w:p>
          <w:p>
            <w:pPr>
              <w:pStyle w:val="Header"/>
              <w:ind w:start="1969" w:end="0"/>
              <w:rPr>
                <w:rFonts w:ascii="Arial" w:hAnsi="Arial" w:cs="Arial"/>
                <w:i/>
                <w:i/>
                <w:sz w:val="16"/>
              </w:rPr>
            </w:pPr>
            <w:r>
              <w:rPr>
                <w:rFonts w:cs="Arial" w:ascii="Arial" w:hAnsi="Arial"/>
                <w:i/>
                <w:sz w:val="16"/>
              </w:rPr>
              <w:t>Jeffrey T. Hodge</w:t>
            </w:r>
          </w:p>
          <w:p>
            <w:pPr>
              <w:pStyle w:val="Header"/>
              <w:ind w:start="1969" w:end="0"/>
              <w:rPr>
                <w:rFonts w:ascii="Arial" w:hAnsi="Arial" w:cs="Arial"/>
                <w:i/>
                <w:i/>
                <w:sz w:val="16"/>
              </w:rPr>
            </w:pPr>
            <w:r>
              <w:rPr>
                <w:rFonts w:cs="Arial" w:ascii="Arial" w:hAnsi="Arial"/>
                <w:i/>
                <w:sz w:val="16"/>
              </w:rPr>
              <w:t>Vice President &amp;</w:t>
            </w:r>
          </w:p>
          <w:p>
            <w:pPr>
              <w:pStyle w:val="Header"/>
              <w:ind w:start="1969" w:end="0"/>
              <w:rPr>
                <w:rFonts w:ascii="Arial" w:hAnsi="Arial" w:cs="Arial"/>
                <w:i/>
                <w:i/>
                <w:sz w:val="16"/>
              </w:rPr>
            </w:pPr>
            <w:r>
              <w:rPr>
                <w:rFonts w:cs="Arial" w:ascii="Arial" w:hAnsi="Arial"/>
                <w:i/>
                <w:sz w:val="16"/>
              </w:rPr>
              <w:t>Assistant General Counsel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2340" w:leader="none"/>
        </w:tabs>
        <w:jc w:val="center"/>
        <w:rPr/>
      </w:pPr>
      <w:r>
        <w:rPr/>
        <w:t>December 7, 2000</w:t>
      </w:r>
    </w:p>
    <w:p>
      <w:pPr>
        <w:pStyle w:val="Normal"/>
        <w:tabs>
          <w:tab w:val="clear" w:pos="720"/>
          <w:tab w:val="left" w:pos="234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234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234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234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540" w:leader="none"/>
        </w:tabs>
        <w:jc w:val="both"/>
        <w:rPr/>
      </w:pPr>
      <w:r>
        <w:rPr/>
        <w:t>Sherry Brinkman</w:t>
      </w:r>
    </w:p>
    <w:p>
      <w:pPr>
        <w:pStyle w:val="Normal"/>
        <w:tabs>
          <w:tab w:val="clear" w:pos="720"/>
          <w:tab w:val="left" w:pos="540" w:leader="none"/>
        </w:tabs>
        <w:jc w:val="both"/>
        <w:rPr/>
      </w:pPr>
      <w:r>
        <w:rPr/>
        <w:t>Energy USA – TPC Corp.</w:t>
      </w:r>
    </w:p>
    <w:p>
      <w:pPr>
        <w:pStyle w:val="Normal"/>
        <w:tabs>
          <w:tab w:val="clear" w:pos="720"/>
          <w:tab w:val="left" w:pos="540" w:leader="none"/>
        </w:tabs>
        <w:jc w:val="both"/>
        <w:rPr/>
      </w:pPr>
      <w:r>
        <w:rPr/>
        <w:t>via e-mail – SBrinkman@energyusa.com</w:t>
      </w:r>
    </w:p>
    <w:p>
      <w:pPr>
        <w:pStyle w:val="Normal"/>
        <w:tabs>
          <w:tab w:val="clear" w:pos="720"/>
          <w:tab w:val="left" w:pos="540" w:leader="none"/>
        </w:tabs>
        <w:jc w:val="both"/>
        <w:rPr/>
      </w:pPr>
      <w:r>
        <w:rPr/>
      </w:r>
    </w:p>
    <w:p>
      <w:pPr>
        <w:pStyle w:val="BlockText"/>
        <w:ind w:end="2736"/>
        <w:rPr/>
      </w:pPr>
      <w:r>
        <w:rPr/>
        <w:t>Re:</w:t>
        <w:tab/>
        <w:t>GISB Agreement between enovate, L.L.C. ("</w:t>
      </w:r>
      <w:r>
        <w:rPr>
          <w:u w:val="single"/>
        </w:rPr>
        <w:t>enovate</w:t>
      </w:r>
      <w:r>
        <w:rPr/>
        <w:t>") and Energy USA – TPC ("</w:t>
      </w:r>
      <w:r>
        <w:rPr>
          <w:u w:val="single"/>
        </w:rPr>
        <w:t>Energy USA</w:t>
      </w:r>
      <w:r>
        <w:rPr/>
        <w:t>")</w:t>
      </w:r>
    </w:p>
    <w:p>
      <w:pPr>
        <w:pStyle w:val="BlockTex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tabs>
          <w:tab w:val="left" w:pos="720" w:leader="none"/>
        </w:tabs>
        <w:jc w:val="both"/>
        <w:rPr/>
      </w:pPr>
      <w:r>
        <w:rPr/>
        <w:t>Dear Sherry:</w:t>
      </w:r>
    </w:p>
    <w:p>
      <w:pPr>
        <w:pStyle w:val="Normal"/>
        <w:tabs>
          <w:tab w:val="left" w:pos="720" w:leader="none"/>
        </w:tabs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jc w:val="both"/>
        <w:rPr/>
      </w:pPr>
      <w:r>
        <w:rPr/>
        <w:tab/>
        <w:t>At the request of Cary Carrabine, I am forwarding you via e-mail a revised GISB Agreement.  From the document we previously forwarded, the following changes were made:</w:t>
      </w:r>
    </w:p>
    <w:p>
      <w:pPr>
        <w:pStyle w:val="Normal"/>
        <w:tabs>
          <w:tab w:val="left" w:pos="720" w:leader="none"/>
        </w:tabs>
        <w:jc w:val="both"/>
        <w:rPr/>
      </w:pPr>
      <w:r>
        <w:rPr/>
      </w:r>
    </w:p>
    <w:p>
      <w:pPr>
        <w:pStyle w:val="Normal"/>
        <w:ind w:hanging="360" w:start="1080" w:end="0"/>
        <w:jc w:val="both"/>
        <w:rPr/>
      </w:pPr>
      <w:r>
        <w:rPr/>
        <w:t>1.</w:t>
        <w:tab/>
        <w:t>All of Energy USA's address and financial information has been added.</w:t>
      </w:r>
    </w:p>
    <w:p>
      <w:pPr>
        <w:pStyle w:val="Normal"/>
        <w:ind w:hanging="360" w:start="1080" w:end="0"/>
        <w:jc w:val="both"/>
        <w:rPr/>
      </w:pPr>
      <w:r>
        <w:rPr/>
      </w:r>
    </w:p>
    <w:p>
      <w:pPr>
        <w:pStyle w:val="Normal"/>
        <w:ind w:hanging="360" w:start="1080" w:end="0"/>
        <w:jc w:val="both"/>
        <w:rPr/>
      </w:pPr>
      <w:r>
        <w:rPr/>
        <w:t>2.</w:t>
        <w:tab/>
        <w:t>Choice of law has been changed from Texas to New York.</w:t>
      </w:r>
    </w:p>
    <w:p>
      <w:pPr>
        <w:pStyle w:val="Normal"/>
        <w:ind w:hanging="360" w:start="1080" w:end="0"/>
        <w:jc w:val="both"/>
        <w:rPr/>
      </w:pPr>
      <w:r>
        <w:rPr/>
      </w:r>
    </w:p>
    <w:p>
      <w:pPr>
        <w:pStyle w:val="Normal"/>
        <w:ind w:hanging="360" w:start="1080" w:end="0"/>
        <w:jc w:val="both"/>
        <w:rPr/>
      </w:pPr>
      <w:r>
        <w:rPr/>
        <w:t>3.</w:t>
        <w:tab/>
        <w:t>The definitions of Force Majeure on the Appendix has been deleted.</w:t>
      </w:r>
    </w:p>
    <w:p>
      <w:pPr>
        <w:pStyle w:val="Normal"/>
        <w:ind w:hanging="360" w:start="1080" w:end="0"/>
        <w:jc w:val="both"/>
        <w:rPr/>
      </w:pPr>
      <w:r>
        <w:rPr/>
      </w:r>
    </w:p>
    <w:p>
      <w:pPr>
        <w:pStyle w:val="BodyTextIndent"/>
        <w:rPr/>
      </w:pPr>
      <w:r>
        <w:rPr/>
        <w:t>If the attached is acceptable, please print 2 copies, arrange for signature on behalf of Energy USA and forward to me for further handling.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>If you have any question, please contact me at 713-853-6911.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ab/>
        <w:tab/>
        <w:t>Sincerely yours,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ab/>
        <w:tab/>
        <w:t>Jeffrey T. Hodge</w:t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ab/>
        <w:tab/>
        <w:t xml:space="preserve">Vice President &amp; </w:t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ab/>
        <w:tab/>
        <w:tab/>
        <w:tab/>
        <w:t>Assistant General Counsel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>cc:  Cary Carrabine</w:t>
      </w:r>
    </w:p>
    <w:p>
      <w:pPr>
        <w:pStyle w:val="Normal"/>
        <w:tabs>
          <w:tab w:val="clear" w:pos="720"/>
          <w:tab w:val="left" w:pos="2340" w:leader="none"/>
        </w:tabs>
        <w:jc w:val="both"/>
        <w:rPr/>
      </w:pPr>
      <w:r>
        <w:rPr/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sectPr>
      <w:footerReference w:type="default" r:id="rId3"/>
      <w:type w:val="nextPage"/>
      <w:pgSz w:w="12240" w:h="15840"/>
      <w:pgMar w:left="1440" w:right="1440" w:gutter="0" w:header="0" w:top="1440" w:footer="432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/mnt/main-storage/datasets/enron-docs/doc/00_114t.doc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ind w:hanging="720" w:start="2160" w:end="3366"/>
      <w:jc w:val="both"/>
    </w:pPr>
    <w:rPr>
      <w:b/>
      <w:bCs/>
      <w:i/>
      <w:iCs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2000-12-07T15:55:00Z</dcterms:created>
  <dc:creator>protmp5</dc:creator>
  <dc:description/>
  <dc:language>en-CA</dc:language>
  <cp:lastModifiedBy>jhelton</cp:lastModifiedBy>
  <cp:lastPrinted>2000-12-07T12:33:00Z</cp:lastPrinted>
  <dcterms:modified xsi:type="dcterms:W3CDTF">2000-12-07T16:05:00Z</dcterms:modified>
  <cp:revision>3</cp:revision>
  <dc:subject/>
  <dc:title>November 24, 1999</dc:title>
</cp:coreProperties>
</file>