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spacing w:before="400" w:after="120"/>
        <w:jc w:val="end"/>
        <w:rPr/>
      </w:pPr>
      <w:r>
        <w:rPr/>
        <w:drawing>
          <wp:inline distT="0" distB="0" distL="0" distR="0">
            <wp:extent cx="1760220" cy="72263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0" t="-50" r="-20" b="-50"/>
                    <a:stretch>
                      <a:fillRect/>
                    </a:stretch>
                  </pic:blipFill>
                  <pic:spPr bwMode="auto">
                    <a:xfrm>
                      <a:off x="0" y="0"/>
                      <a:ext cx="1760220" cy="722630"/>
                    </a:xfrm>
                    <a:prstGeom prst="rect">
                      <a:avLst/>
                    </a:prstGeom>
                    <a:noFill/>
                  </pic:spPr>
                </pic:pic>
              </a:graphicData>
            </a:graphic>
          </wp:inline>
        </w:drawing>
      </w:r>
    </w:p>
    <w:p>
      <w:pPr>
        <w:pStyle w:val="DocumentLabel"/>
        <w:ind w:start="0" w:end="0"/>
        <w:rPr>
          <w:sz w:val="48"/>
        </w:rPr>
      </w:pPr>
      <w:r>
        <w:rPr>
          <w:sz w:val="48"/>
        </w:rPr>
        <w:t>Memo</w:t>
      </w:r>
    </w:p>
    <w:p>
      <w:pPr>
        <w:pStyle w:val="MessageHeaderFirst"/>
        <w:rPr/>
      </w:pPr>
      <w:r>
        <w:rPr>
          <w:rStyle w:val="MessageHeaderLabel"/>
          <w:rFonts w:cs="Book Antiqua" w:ascii="Book Antiqua" w:hAnsi="Book Antiqua"/>
          <w:spacing w:val="-25"/>
        </w:rPr>
        <w:t>T</w:t>
      </w:r>
      <w:r>
        <w:rPr>
          <w:rStyle w:val="MessageHeaderLabel"/>
          <w:rFonts w:cs="Book Antiqua" w:ascii="Book Antiqua" w:hAnsi="Book Antiqua"/>
        </w:rPr>
        <w:t>o:</w:t>
      </w:r>
      <w:r>
        <w:rPr>
          <w:rFonts w:cs="Book Antiqua" w:ascii="Book Antiqua" w:hAnsi="Book Antiqua"/>
        </w:rPr>
        <w:tab/>
        <w:t>Mary Hain, Enron</w:t>
      </w:r>
    </w:p>
    <w:p>
      <w:pPr>
        <w:pStyle w:val="MessageHeader"/>
        <w:rPr/>
      </w:pPr>
      <w:r>
        <w:rPr>
          <w:rStyle w:val="MessageHeaderLabel"/>
          <w:rFonts w:cs="Book Antiqua" w:ascii="Book Antiqua" w:hAnsi="Book Antiqua"/>
        </w:rPr>
        <w:t>From:</w:t>
      </w:r>
      <w:r>
        <w:rPr>
          <w:rFonts w:cs="Book Antiqua" w:ascii="Book Antiqua" w:hAnsi="Book Antiqua"/>
        </w:rPr>
        <w:tab/>
        <w:t>Seabron Adamson, Frontier Economics</w:t>
      </w:r>
    </w:p>
    <w:p>
      <w:pPr>
        <w:pStyle w:val="MessageHeader"/>
        <w:rPr/>
      </w:pPr>
      <w:r>
        <w:rPr>
          <w:rStyle w:val="MessageHeaderLabel"/>
          <w:rFonts w:cs="Book Antiqua" w:ascii="Book Antiqua" w:hAnsi="Book Antiqua"/>
        </w:rPr>
        <w:t>CC:</w:t>
      </w:r>
      <w:r>
        <w:rPr>
          <w:rFonts w:cs="Book Antiqua" w:ascii="Book Antiqua" w:hAnsi="Book Antiqua"/>
        </w:rPr>
        <w:tab/>
        <w:t>Ron Carroll, Bracewell &amp; Patterson LLP</w:t>
      </w:r>
    </w:p>
    <w:p>
      <w:pPr>
        <w:pStyle w:val="MessageHeader"/>
        <w:rPr/>
      </w:pPr>
      <w:r>
        <w:rPr>
          <w:rStyle w:val="MessageHeaderLabel"/>
          <w:rFonts w:cs="Book Antiqua" w:ascii="Book Antiqua" w:hAnsi="Book Antiqua"/>
        </w:rPr>
        <w:t>Date:</w:t>
      </w:r>
      <w:r>
        <w:rPr>
          <w:rFonts w:cs="Book Antiqua" w:ascii="Book Antiqua" w:hAnsi="Book Antiqua"/>
        </w:rPr>
        <w:tab/>
        <w:t>October 26</w:t>
      </w:r>
      <w:r>
        <w:rPr>
          <w:rFonts w:cs="Book Antiqua" w:ascii="Book Antiqua" w:hAnsi="Book Antiqua"/>
          <w:vertAlign w:val="superscript"/>
        </w:rPr>
        <w:t>th</w:t>
      </w:r>
      <w:r>
        <w:rPr>
          <w:rFonts w:cs="Book Antiqua" w:ascii="Book Antiqua" w:hAnsi="Book Antiqua"/>
        </w:rPr>
        <w:t>, 2000</w:t>
      </w:r>
    </w:p>
    <w:p>
      <w:pPr>
        <w:pStyle w:val="MessageHeaderLast"/>
        <w:rPr/>
      </w:pPr>
      <w:r>
        <w:rPr>
          <w:rStyle w:val="MessageHeaderLabel"/>
          <w:rFonts w:cs="Book Antiqua" w:ascii="Book Antiqua" w:hAnsi="Book Antiqua"/>
        </w:rPr>
        <w:t>Re:</w:t>
      </w:r>
      <w:r>
        <w:rPr>
          <w:rFonts w:cs="Book Antiqua" w:ascii="Book Antiqua" w:hAnsi="Book Antiqua"/>
        </w:rPr>
        <w:tab/>
        <w:t>SDG&amp;E Answer of October 20</w:t>
      </w:r>
      <w:r>
        <w:rPr>
          <w:rFonts w:cs="Book Antiqua" w:ascii="Book Antiqua" w:hAnsi="Book Antiqua"/>
          <w:vertAlign w:val="superscript"/>
        </w:rPr>
        <w:t>th</w:t>
      </w:r>
      <w:r>
        <w:rPr>
          <w:rFonts w:cs="Book Antiqua" w:ascii="Book Antiqua" w:hAnsi="Book Antiqua"/>
        </w:rPr>
        <w:t xml:space="preserve"> to PG&amp;E/SCE/TURN filing</w:t>
      </w:r>
    </w:p>
    <w:p>
      <w:pPr>
        <w:pStyle w:val="Heading1"/>
        <w:ind w:hanging="0" w:start="0"/>
        <w:rPr>
          <w:rFonts w:ascii="Book Antiqua" w:hAnsi="Book Antiqua" w:cs="Book Antiqua"/>
          <w:b/>
          <w:sz w:val="24"/>
        </w:rPr>
      </w:pPr>
      <w:r>
        <w:rPr>
          <w:rFonts w:cs="Book Antiqua" w:ascii="Book Antiqua" w:hAnsi="Book Antiqua"/>
          <w:b/>
          <w:sz w:val="24"/>
        </w:rPr>
        <w:t>SDG&amp;E Answer</w:t>
      </w:r>
    </w:p>
    <w:p>
      <w:pPr>
        <w:pStyle w:val="BodyText"/>
        <w:spacing w:before="0" w:after="120"/>
        <w:rPr>
          <w:rFonts w:ascii="Book Antiqua" w:hAnsi="Book Antiqua" w:cs="Book Antiqua"/>
        </w:rPr>
      </w:pPr>
      <w:r>
        <w:rPr>
          <w:rFonts w:cs="Book Antiqua" w:ascii="Book Antiqua" w:hAnsi="Book Antiqua"/>
        </w:rPr>
        <w:t>Following our discussion I have briefly reviewed SDG&amp;E’s lengthy (over 180 page) filing. I have not read all of the attachments in detail, but I think I have the gist of the arguments. In summary, I think that SDG&amp;E makes (and has considerable economic analysis included to support) only one point worth rebutting. Everything else is either probably irrelevant or has been covered elsewhere.</w:t>
      </w:r>
    </w:p>
    <w:p>
      <w:pPr>
        <w:pStyle w:val="BodyText"/>
        <w:spacing w:before="0" w:after="120"/>
        <w:rPr>
          <w:rFonts w:ascii="Book Antiqua" w:hAnsi="Book Antiqua" w:cs="Book Antiqua"/>
        </w:rPr>
      </w:pPr>
      <w:r>
        <w:rPr>
          <w:rFonts w:cs="Book Antiqua" w:ascii="Book Antiqua" w:hAnsi="Book Antiqua"/>
        </w:rPr>
        <w:t>San Diego’s four main points are:</w:t>
      </w:r>
    </w:p>
    <w:p>
      <w:pPr>
        <w:pStyle w:val="BodyText"/>
        <w:numPr>
          <w:ilvl w:val="0"/>
          <w:numId w:val="4"/>
        </w:numPr>
        <w:spacing w:before="0" w:after="120"/>
        <w:rPr>
          <w:rFonts w:ascii="Book Antiqua" w:hAnsi="Book Antiqua" w:cs="Book Antiqua"/>
        </w:rPr>
      </w:pPr>
      <w:r>
        <w:rPr>
          <w:rFonts w:cs="Book Antiqua" w:ascii="Book Antiqua" w:hAnsi="Book Antiqua"/>
        </w:rPr>
        <w:t>The market is not “workably competitive” and the burden of remaining on market-based rates should be shifted to suppliers. They support an entire set of interim and emergency relief procedures.</w:t>
      </w:r>
    </w:p>
    <w:p>
      <w:pPr>
        <w:pStyle w:val="BodyText"/>
        <w:numPr>
          <w:ilvl w:val="0"/>
          <w:numId w:val="4"/>
        </w:numPr>
        <w:spacing w:before="0" w:after="120"/>
        <w:rPr>
          <w:rFonts w:ascii="Book Antiqua" w:hAnsi="Book Antiqua" w:cs="Book Antiqua"/>
        </w:rPr>
      </w:pPr>
      <w:r>
        <w:rPr>
          <w:rFonts w:cs="Book Antiqua" w:ascii="Book Antiqua" w:hAnsi="Book Antiqua"/>
        </w:rPr>
        <w:t xml:space="preserve">The market design needs to be completely changed. Unsurprisingly SDG&amp;E argues that New York, PJM etc. offer the only workable model, which should include integration of the pool and ISO, LMP, centralized commitment, etc. </w:t>
      </w:r>
    </w:p>
    <w:p>
      <w:pPr>
        <w:pStyle w:val="BodyText"/>
        <w:numPr>
          <w:ilvl w:val="0"/>
          <w:numId w:val="4"/>
        </w:numPr>
        <w:spacing w:before="0" w:after="120"/>
        <w:rPr>
          <w:rFonts w:ascii="Book Antiqua" w:hAnsi="Book Antiqua" w:cs="Book Antiqua"/>
        </w:rPr>
      </w:pPr>
      <w:r>
        <w:rPr>
          <w:rFonts w:cs="Book Antiqua" w:ascii="Book Antiqua" w:hAnsi="Book Antiqua"/>
        </w:rPr>
        <w:t>SDG&amp;E was acting reasonably when it did not hedge forward for this past summer (to the extent allowed) in the block forwards market (BFM). The hedging prices were high by their expectations of the summer’s PX and ISO prices. The contract and forwards markets were thin and expensive. Furthermore, given the potential for a reasonableness review by the CPUC then SDG&amp;E would have been taking on a great deal of shareholder risk by entering into contracts had the spot prices turned out low.</w:t>
      </w:r>
    </w:p>
    <w:p>
      <w:pPr>
        <w:pStyle w:val="BodyText"/>
        <w:numPr>
          <w:ilvl w:val="0"/>
          <w:numId w:val="4"/>
        </w:numPr>
        <w:spacing w:before="0" w:after="120"/>
        <w:rPr>
          <w:rFonts w:ascii="Book Antiqua" w:hAnsi="Book Antiqua" w:cs="Book Antiqua"/>
        </w:rPr>
      </w:pPr>
      <w:r>
        <w:rPr>
          <w:rFonts w:cs="Book Antiqua" w:ascii="Book Antiqua" w:hAnsi="Book Antiqua"/>
        </w:rPr>
        <w:t>Contrary to the Cal ISO MSC’s (and our own recommendation), allowing the UDC’s to enter into forwards transactions will not help address competitiveness or market power problems. Direct price controls are required. This assertion is supported by an economic piece by Bill Hogan and Scott Harvey and an affidavit by Craig Pirrong of Washington University.</w:t>
      </w:r>
    </w:p>
    <w:p>
      <w:pPr>
        <w:pStyle w:val="BodyText"/>
        <w:spacing w:before="0" w:after="120"/>
        <w:rPr>
          <w:rFonts w:ascii="Book Antiqua" w:hAnsi="Book Antiqua" w:cs="Book Antiqua"/>
          <w:b/>
          <w:bCs/>
          <w:i/>
          <w:i/>
          <w:iCs/>
        </w:rPr>
      </w:pPr>
      <w:r>
        <w:rPr>
          <w:rFonts w:cs="Book Antiqua" w:ascii="Book Antiqua" w:hAnsi="Book Antiqua"/>
          <w:b/>
          <w:bCs/>
          <w:i/>
          <w:iCs/>
        </w:rPr>
        <w:t>What propositions need to be rebutted?</w:t>
      </w:r>
    </w:p>
    <w:p>
      <w:pPr>
        <w:pStyle w:val="BodyText"/>
        <w:spacing w:before="0" w:after="120"/>
        <w:rPr>
          <w:rFonts w:ascii="Book Antiqua" w:hAnsi="Book Antiqua" w:cs="Book Antiqua"/>
        </w:rPr>
      </w:pPr>
      <w:r>
        <w:rPr>
          <w:rFonts w:cs="Book Antiqua" w:ascii="Book Antiqua" w:hAnsi="Book Antiqua"/>
        </w:rPr>
        <w:t>I would argue that three of these points have been discussed elsewhere, and can be left on the shelf:</w:t>
      </w:r>
    </w:p>
    <w:p>
      <w:pPr>
        <w:pStyle w:val="BodyText"/>
        <w:numPr>
          <w:ilvl w:val="0"/>
          <w:numId w:val="2"/>
        </w:numPr>
        <w:spacing w:before="0" w:after="120"/>
        <w:rPr>
          <w:rFonts w:ascii="Book Antiqua" w:hAnsi="Book Antiqua" w:cs="Book Antiqua"/>
        </w:rPr>
      </w:pPr>
      <w:r>
        <w:rPr>
          <w:rFonts w:cs="Book Antiqua" w:ascii="Book Antiqua" w:hAnsi="Book Antiqua"/>
          <w:b/>
          <w:bCs/>
          <w:i/>
          <w:iCs/>
        </w:rPr>
        <w:t>Point 1:</w:t>
      </w:r>
      <w:r>
        <w:rPr>
          <w:rFonts w:cs="Book Antiqua" w:ascii="Book Antiqua" w:hAnsi="Book Antiqua"/>
        </w:rPr>
        <w:t xml:space="preserve"> Anything significant here I suspect will l come out in the FERC Nov. 1</w:t>
      </w:r>
      <w:r>
        <w:rPr>
          <w:rFonts w:cs="Book Antiqua" w:ascii="Book Antiqua" w:hAnsi="Book Antiqua"/>
          <w:vertAlign w:val="superscript"/>
        </w:rPr>
        <w:t>st</w:t>
      </w:r>
      <w:r>
        <w:rPr>
          <w:rFonts w:cs="Book Antiqua" w:ascii="Book Antiqua" w:hAnsi="Book Antiqua"/>
        </w:rPr>
        <w:t xml:space="preserve"> process. Not worth saying anything about unless for some legal purpose (so that you can object later, etc.).</w:t>
      </w:r>
      <w:r>
        <w:rPr>
          <w:rFonts w:cs="Book Antiqua" w:ascii="Book Antiqua" w:hAnsi="Book Antiqua"/>
          <w:b/>
          <w:bCs/>
          <w:i/>
          <w:iCs/>
        </w:rPr>
        <w:t xml:space="preserve">  </w:t>
      </w:r>
    </w:p>
    <w:p>
      <w:pPr>
        <w:pStyle w:val="BodyText"/>
        <w:numPr>
          <w:ilvl w:val="0"/>
          <w:numId w:val="3"/>
        </w:numPr>
        <w:spacing w:before="0" w:after="120"/>
        <w:rPr>
          <w:rFonts w:ascii="Book Antiqua" w:hAnsi="Book Antiqua" w:cs="Book Antiqua"/>
        </w:rPr>
      </w:pPr>
      <w:r>
        <w:rPr>
          <w:rFonts w:cs="Book Antiqua" w:ascii="Book Antiqua" w:hAnsi="Book Antiqua"/>
          <w:b/>
          <w:bCs/>
          <w:i/>
          <w:iCs/>
        </w:rPr>
        <w:t xml:space="preserve">Point 2: </w:t>
      </w:r>
      <w:r>
        <w:rPr>
          <w:rFonts w:cs="Book Antiqua" w:ascii="Book Antiqua" w:hAnsi="Book Antiqua"/>
        </w:rPr>
        <w:t xml:space="preserve">It seems pointless to re-open all of the usual debate about LMP, market centralization, etc. </w:t>
      </w:r>
    </w:p>
    <w:p>
      <w:pPr>
        <w:pStyle w:val="BodyText"/>
        <w:numPr>
          <w:ilvl w:val="0"/>
          <w:numId w:val="3"/>
        </w:numPr>
        <w:spacing w:before="0" w:after="120"/>
        <w:rPr>
          <w:rFonts w:ascii="Book Antiqua" w:hAnsi="Book Antiqua" w:cs="Book Antiqua"/>
        </w:rPr>
      </w:pPr>
      <w:r>
        <w:rPr>
          <w:rFonts w:cs="Book Antiqua" w:ascii="Book Antiqua" w:hAnsi="Book Antiqua"/>
          <w:b/>
          <w:bCs/>
          <w:i/>
          <w:iCs/>
        </w:rPr>
        <w:t>Point 3:</w:t>
      </w:r>
      <w:r>
        <w:rPr>
          <w:rFonts w:cs="Book Antiqua" w:ascii="Book Antiqua" w:hAnsi="Book Antiqua"/>
        </w:rPr>
        <w:t xml:space="preserve"> I think our fundamental point is that the UDCs have not used the forwards markets because of CPUC policies. SDG&amp;E is right about taking on all of the downside risk in a prudency review without any upside. In my view, they are mainly trying to show that they acted reasonably to improve their chances for a refund order for this past summer, and to protect against CPUC determination that all of this summer’s price spikes should not have been passed to customers. If we were to say anything here it would only be worth a paragraph or two.</w:t>
      </w:r>
    </w:p>
    <w:p>
      <w:pPr>
        <w:pStyle w:val="BodyText"/>
        <w:numPr>
          <w:ilvl w:val="0"/>
          <w:numId w:val="3"/>
        </w:numPr>
        <w:spacing w:before="0" w:after="120"/>
        <w:rPr>
          <w:rFonts w:ascii="Book Antiqua" w:hAnsi="Book Antiqua" w:cs="Book Antiqua"/>
        </w:rPr>
      </w:pPr>
      <w:r>
        <w:rPr>
          <w:rFonts w:cs="Book Antiqua" w:ascii="Book Antiqua" w:hAnsi="Book Antiqua"/>
          <w:b/>
          <w:bCs/>
          <w:i/>
          <w:iCs/>
        </w:rPr>
        <w:t xml:space="preserve">Point 4: </w:t>
      </w:r>
      <w:r>
        <w:rPr>
          <w:rFonts w:cs="Book Antiqua" w:ascii="Book Antiqua" w:hAnsi="Book Antiqua"/>
        </w:rPr>
        <w:t>This one is significant, because they try to demonstrate that improving forwards markets development and usage won’t help the many problems, and that FERC needs to impose very strict direct controls on generators and marketers. To do so they try to undermine Wolak’s and the MSC’s analysis (and implicitly our own, which follows many of the same lines, although Hogan and Harvey had obviously not seen it at the time). I would argue that this is worth a brief reply.</w:t>
      </w:r>
    </w:p>
    <w:p>
      <w:pPr>
        <w:pStyle w:val="BodyText"/>
        <w:spacing w:before="0" w:after="120"/>
        <w:ind w:start="40" w:end="0"/>
        <w:rPr>
          <w:rFonts w:ascii="Book Antiqua" w:hAnsi="Book Antiqua" w:cs="Book Antiqua"/>
        </w:rPr>
      </w:pPr>
      <w:r>
        <w:rPr>
          <w:rFonts w:cs="Book Antiqua" w:ascii="Book Antiqua" w:hAnsi="Book Antiqua"/>
        </w:rPr>
        <w:t>Basically Harvey and Hogan try to win the argument by greatly overstating their case. Since forwards contracting would not help to control an absolute monopoly they argue (since said monopolist would not want to sell forwards at anything less than the price he or she could extract in the spot market), they try to suggest that moving to forward purchasing by UDCs represents no improvement at all. This argument is supported by quoting various (highly selected) bits of the economics literature.</w:t>
      </w:r>
    </w:p>
    <w:p>
      <w:pPr>
        <w:pStyle w:val="BodyText"/>
        <w:spacing w:before="0" w:after="120"/>
        <w:ind w:start="40" w:end="0"/>
        <w:rPr>
          <w:rFonts w:ascii="Book Antiqua" w:hAnsi="Book Antiqua" w:cs="Book Antiqua"/>
        </w:rPr>
      </w:pPr>
      <w:r>
        <w:rPr>
          <w:rFonts w:cs="Book Antiqua" w:ascii="Book Antiqua" w:hAnsi="Book Antiqua"/>
        </w:rPr>
        <w:t xml:space="preserve">But this is really not very subtle. In reality the market has many suppliers, only a few hours where any form of monopoly power could occur, and a great deal of demand uncertainty. As we showed in the White Paper (in simplistic terms, not doing the full economics quotation bit like Hogan and Harvey) forwards contracting can greatly improve the competitiveness of a market where both sides face uncertainty about future demand, etc. In this case the ability to extract those “last MW on the shelf” rents will be much lower or gone. </w:t>
      </w:r>
    </w:p>
    <w:p>
      <w:pPr>
        <w:pStyle w:val="BodyText"/>
        <w:spacing w:before="0" w:after="120"/>
        <w:ind w:start="40" w:end="0"/>
        <w:rPr>
          <w:rFonts w:ascii="Book Antiqua" w:hAnsi="Book Antiqua" w:cs="Book Antiqua"/>
        </w:rPr>
      </w:pPr>
      <w:r>
        <w:rPr>
          <w:rFonts w:cs="Book Antiqua" w:ascii="Book Antiqua" w:hAnsi="Book Antiqua"/>
        </w:rPr>
        <w:t>So while it is against my general principles to agree publicly with Frank Wolak (although Frank is coming around on many issues, I must admit) I think that this critical part of our White Paper position should be supported. This looks likely to be a major part of the debate about the future of the market in November, and SDG&amp;E is clearly trying to steal a march on everyone else by bring in Hogan and Co. to suggest that the MSC’s conclusions on forwards markets are unsupportable (and by extension, Enron’s position).</w:t>
      </w:r>
    </w:p>
    <w:p>
      <w:pPr>
        <w:pStyle w:val="BodyText"/>
        <w:spacing w:before="0" w:after="120"/>
        <w:ind w:start="40" w:end="0"/>
        <w:rPr/>
      </w:pPr>
      <w:r>
        <w:rPr>
          <w:rFonts w:cs="Book Antiqua" w:ascii="Book Antiqua" w:hAnsi="Book Antiqua"/>
        </w:rPr>
        <w:t xml:space="preserve">I think any response should be very brief and focus on this one issue – everything else has been discussed </w:t>
      </w:r>
      <w:r>
        <w:rPr>
          <w:rFonts w:cs="Book Antiqua" w:ascii="Book Antiqua" w:hAnsi="Book Antiqua"/>
          <w:i/>
          <w:iCs/>
        </w:rPr>
        <w:t>ad infinitum</w:t>
      </w:r>
      <w:r>
        <w:rPr>
          <w:rFonts w:cs="Book Antiqua" w:ascii="Book Antiqua" w:hAnsi="Book Antiqua"/>
        </w:rPr>
        <w:t xml:space="preserve"> elsewhere. I think it would take only 3-4 days to prepare a response – I already know the literature pretty well. We have not used all of the time expected to prepare the CMUA response, so some of it could come under that budget.</w:t>
      </w:r>
    </w:p>
    <w:p>
      <w:pPr>
        <w:pStyle w:val="BodyText"/>
        <w:spacing w:before="0" w:after="120"/>
        <w:ind w:start="40" w:end="0"/>
        <w:rPr>
          <w:rFonts w:ascii="Book Antiqua" w:hAnsi="Book Antiqua" w:eastAsia="Book Antiqua" w:cs="Book Antiqua"/>
        </w:rPr>
      </w:pPr>
      <w:r>
        <w:rPr>
          <w:rFonts w:eastAsia="Book Antiqua" w:cs="Book Antiqua" w:ascii="Book Antiqua" w:hAnsi="Book Antiqua"/>
        </w:rPr>
        <w:t xml:space="preserve"> </w:t>
      </w:r>
    </w:p>
    <w:sectPr>
      <w:headerReference w:type="default" r:id="rId3"/>
      <w:headerReference w:type="first" r:id="rId4"/>
      <w:footerReference w:type="default" r:id="rId5"/>
      <w:footerReference w:type="first" r:id="rId6"/>
      <w:type w:val="nextPage"/>
      <w:pgSz w:w="12240" w:h="15840"/>
      <w:pgMar w:left="1800" w:right="1800" w:gutter="0" w:header="960" w:top="1440" w:footer="96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jc w:val="center"/>
      <w:rPr>
        <w:b/>
        <w:bCs/>
        <w:i/>
        <w:i/>
        <w:iCs/>
        <w:sz w:val="22"/>
      </w:rPr>
    </w:pPr>
    <w:r>
      <w:rPr>
        <w:b/>
        <w:bCs/>
        <w:i/>
        <w:iCs/>
        <w:sz w:val="22"/>
      </w:rPr>
      <w:t>Privileged and Confidential</w:t>
    </w:r>
  </w:p>
  <w:p>
    <w:pPr>
      <w:pStyle w:val="Footer"/>
      <w:spacing w:before="120" w:after="0"/>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jc w:val="center"/>
      <w:rPr>
        <w:b/>
        <w:bCs/>
        <w:i/>
        <w:i/>
        <w:iCs/>
        <w:sz w:val="22"/>
      </w:rPr>
    </w:pPr>
    <w:r>
      <w:rPr>
        <w:b/>
        <w:bCs/>
        <w:i/>
        <w:iCs/>
        <w:sz w:val="22"/>
      </w:rPr>
      <w:t>Privileged and Confidential</w:t>
    </w:r>
  </w:p>
  <w:p>
    <w:pPr>
      <w:pStyle w:val="Footer"/>
      <w:spacing w:before="120" w:after="0"/>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600"/>
      <w:jc w:val="center"/>
      <w:rPr>
        <w:b/>
        <w:bCs/>
        <w:sz w:val="22"/>
      </w:rPr>
    </w:pPr>
    <w:r>
      <w:rPr>
        <w:b/>
        <w:bCs/>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600"/>
      <w:jc w:val="center"/>
      <w:rPr>
        <w:b/>
        <w:bCs/>
        <w:sz w:val="22"/>
      </w:rPr>
    </w:pPr>
    <w:r>
      <w:rPr>
        <w:b/>
        <w:bCs/>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360"/>
      </w:pPr>
      <w:rPr>
        <w:rFonts w:ascii="Symbol" w:hAnsi="Symbol" w:cs="Symbol" w:hint="default"/>
      </w:rPr>
    </w:lvl>
  </w:abstractNum>
  <w:abstractNum w:abstractNumId="3">
    <w:lvl w:ilvl="0">
      <w:start w:val="1"/>
      <w:numFmt w:val="bullet"/>
      <w:lvlText w:val=""/>
      <w:lvlJc w:val="start"/>
      <w:pPr>
        <w:tabs>
          <w:tab w:val="num" w:pos="1480"/>
        </w:tabs>
        <w:ind w:start="1480" w:hanging="360"/>
      </w:pPr>
      <w:rPr>
        <w:rFonts w:ascii="Symbol" w:hAnsi="Symbol" w:cs="Symbol" w:hint="default"/>
      </w:rPr>
    </w:lvl>
  </w:abstractNum>
  <w:abstractNum w:abstractNumId="4">
    <w:lvl w:ilvl="0">
      <w:start w:val="1"/>
      <w:numFmt w:val="decimal"/>
      <w:lvlText w:val="%1."/>
      <w:lvlJc w:val="start"/>
      <w:pPr>
        <w:tabs>
          <w:tab w:val="num" w:pos="1440"/>
        </w:tabs>
        <w:ind w:start="144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pacing w:val="-5"/>
      <w:sz w:val="20"/>
      <w:szCs w:val="20"/>
      <w:lang w:val="en-US" w:bidi="ar-SA" w:eastAsia="zh-CN"/>
    </w:rPr>
  </w:style>
  <w:style w:type="paragraph" w:styleId="Heading1">
    <w:name w:val="heading 1"/>
    <w:basedOn w:val="Normal"/>
    <w:next w:val="BodyText"/>
    <w:qFormat/>
    <w:pPr>
      <w:keepNext w:val="true"/>
      <w:keepLines/>
      <w:numPr>
        <w:ilvl w:val="0"/>
        <w:numId w:val="1"/>
      </w:numPr>
      <w:spacing w:lineRule="atLeast" w:line="200" w:before="0" w:after="220"/>
      <w:outlineLvl w:val="0"/>
    </w:pPr>
    <w:rPr>
      <w:rFonts w:ascii="Arial Black" w:hAnsi="Arial Black" w:cs="Arial Black"/>
      <w:spacing w:val="-10"/>
      <w:kern w:val="2"/>
      <w:sz w:val="22"/>
    </w:rPr>
  </w:style>
  <w:style w:type="paragraph" w:styleId="Heading2">
    <w:name w:val="heading 2"/>
    <w:basedOn w:val="Normal"/>
    <w:next w:val="BodyText"/>
    <w:qFormat/>
    <w:pPr>
      <w:keepNext w:val="true"/>
      <w:keepLines/>
      <w:numPr>
        <w:ilvl w:val="1"/>
        <w:numId w:val="1"/>
      </w:numPr>
      <w:spacing w:lineRule="atLeast" w:line="200"/>
      <w:outlineLvl w:val="1"/>
    </w:pPr>
    <w:rPr>
      <w:rFonts w:ascii="Arial Black" w:hAnsi="Arial Black" w:cs="Arial Black"/>
      <w:spacing w:val="-10"/>
      <w:kern w:val="2"/>
    </w:rPr>
  </w:style>
  <w:style w:type="paragraph" w:styleId="Heading3">
    <w:name w:val="heading 3"/>
    <w:basedOn w:val="Normal"/>
    <w:next w:val="BodyText"/>
    <w:qFormat/>
    <w:pPr>
      <w:keepNext w:val="true"/>
      <w:keepLines/>
      <w:numPr>
        <w:ilvl w:val="2"/>
        <w:numId w:val="1"/>
      </w:numPr>
      <w:spacing w:lineRule="atLeast" w:line="180"/>
      <w:ind w:hanging="0" w:start="360" w:end="0"/>
      <w:outlineLvl w:val="2"/>
    </w:pPr>
    <w:rPr>
      <w:rFonts w:ascii="Arial Black" w:hAnsi="Arial Black" w:cs="Arial Black"/>
      <w:spacing w:val="-5"/>
      <w:kern w:val="2"/>
    </w:rPr>
  </w:style>
  <w:style w:type="paragraph" w:styleId="Heading4">
    <w:name w:val="heading 4"/>
    <w:basedOn w:val="Normal"/>
    <w:next w:val="BodyText"/>
    <w:qFormat/>
    <w:pPr>
      <w:keepNext w:val="true"/>
      <w:keepLines/>
      <w:numPr>
        <w:ilvl w:val="3"/>
        <w:numId w:val="1"/>
      </w:numPr>
      <w:spacing w:lineRule="atLeast" w:line="180"/>
      <w:ind w:hanging="0" w:start="720" w:end="0"/>
      <w:outlineLvl w:val="3"/>
    </w:pPr>
    <w:rPr>
      <w:rFonts w:ascii="Arial Black" w:hAnsi="Arial Black" w:cs="Arial Black"/>
      <w:spacing w:val="-2"/>
      <w:kern w:val="2"/>
      <w:sz w:val="18"/>
    </w:rPr>
  </w:style>
  <w:style w:type="paragraph" w:styleId="Heading5">
    <w:name w:val="heading 5"/>
    <w:basedOn w:val="Normal"/>
    <w:next w:val="BodyText"/>
    <w:qFormat/>
    <w:pPr>
      <w:keepNext w:val="true"/>
      <w:keepLines/>
      <w:numPr>
        <w:ilvl w:val="4"/>
        <w:numId w:val="1"/>
      </w:numPr>
      <w:spacing w:lineRule="atLeast" w:line="180"/>
      <w:ind w:hanging="0" w:start="1080" w:end="0"/>
      <w:outlineLvl w:val="4"/>
    </w:pPr>
    <w:rPr>
      <w:rFonts w:ascii="Arial Black" w:hAnsi="Arial Black" w:cs="Arial Black"/>
      <w:spacing w:val="-2"/>
      <w:kern w:val="2"/>
      <w:sz w:val="18"/>
    </w:rPr>
  </w:style>
  <w:style w:type="character" w:styleId="WW8Num1z0">
    <w:name w:val="WW8Num1z0"/>
    <w:qFormat/>
    <w:rPr>
      <w:rFonts w:ascii="Symbol" w:hAnsi="Symbol" w:cs="Symbol"/>
      <w:color w:val="auto"/>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2z0">
    <w:name w:val="WW8Num12z0"/>
    <w:qFormat/>
    <w:rPr>
      <w:rFonts w:ascii="Symbol" w:hAnsi="Symbol" w:cs="Symbol"/>
      <w:color w:val="auto"/>
    </w:rPr>
  </w:style>
  <w:style w:type="character" w:styleId="DefaultParagraphFont">
    <w:name w:val="Default Paragraph Font"/>
    <w:qFormat/>
    <w:rPr/>
  </w:style>
  <w:style w:type="character" w:styleId="MessageHeaderLabel">
    <w:name w:val="Message Header Label"/>
    <w:qFormat/>
    <w:rPr>
      <w:rFonts w:ascii="Arial Black" w:hAnsi="Arial Black" w:cs="Arial Black"/>
      <w:spacing w:val="-10"/>
      <w:sz w:val="18"/>
    </w:rPr>
  </w:style>
  <w:style w:type="character" w:styleId="PageNumber">
    <w:name w:val="page number"/>
    <w:rPr>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180" w:before="0" w:after="220"/>
      <w:jc w:val="both"/>
    </w:pPr>
    <w:rPr>
      <w:rFonts w:ascii="Arial" w:hAnsi="Arial" w:cs="Arial"/>
      <w:spacing w:val="-5"/>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losing">
    <w:name w:val="Closing"/>
    <w:basedOn w:val="Normal"/>
    <w:qFormat/>
    <w:pPr>
      <w:keepNext w:val="true"/>
      <w:spacing w:lineRule="atLeast" w:line="220"/>
    </w:pPr>
    <w:rPr>
      <w:rFonts w:ascii="Arial" w:hAnsi="Arial" w:cs="Arial"/>
      <w:spacing w:val="-5"/>
    </w:rPr>
  </w:style>
  <w:style w:type="paragraph" w:styleId="CompanyName">
    <w:name w:val="Company Name"/>
    <w:basedOn w:val="Normal"/>
    <w:qFormat/>
    <w:pPr>
      <w:keepLines/>
      <w:pBdr>
        <w:top w:val="single" w:sz="6" w:space="9" w:color="000000"/>
        <w:left w:val="single" w:sz="6" w:space="9" w:color="000000"/>
        <w:bottom w:val="single" w:sz="6" w:space="9" w:color="000000"/>
        <w:right w:val="single" w:sz="6" w:space="9" w:color="000000"/>
      </w:pBdr>
      <w:shd w:fill="000000" w:val="clear"/>
      <w:spacing w:lineRule="exact" w:line="320"/>
    </w:pPr>
    <w:rPr>
      <w:rFonts w:ascii="Arial Black" w:hAnsi="Arial Black" w:cs="Arial Black"/>
      <w:spacing w:val="-15"/>
      <w:position w:val="-2"/>
      <w:sz w:val="32"/>
    </w:rPr>
  </w:style>
  <w:style w:type="paragraph" w:styleId="DocumentLabel">
    <w:name w:val="Document Label"/>
    <w:basedOn w:val="Normal"/>
    <w:next w:val="Normal"/>
    <w:qFormat/>
    <w:pPr>
      <w:keepNext w:val="true"/>
      <w:keepLines/>
      <w:spacing w:lineRule="atLeast" w:line="240" w:before="400" w:after="120"/>
      <w:ind w:hanging="0" w:start="-840" w:end="0"/>
    </w:pPr>
    <w:rPr>
      <w:rFonts w:ascii="Arial Black" w:hAnsi="Arial Black" w:cs="Arial Black"/>
      <w:spacing w:val="-5"/>
      <w:kern w:val="2"/>
      <w:sz w:val="96"/>
    </w:rPr>
  </w:style>
  <w:style w:type="paragraph" w:styleId="Enclosure">
    <w:name w:val="Enclosure"/>
    <w:basedOn w:val="BodyText"/>
    <w:next w:val="Normal"/>
    <w:qFormat/>
    <w:pPr>
      <w:keepLines/>
      <w:spacing w:before="220" w:after="220"/>
      <w:jc w:val="start"/>
    </w:pPr>
    <w:rPr/>
  </w:style>
  <w:style w:type="paragraph" w:styleId="HeaderBase">
    <w:name w:val="Header Base"/>
    <w:basedOn w:val="BodyText"/>
    <w:qFormat/>
    <w:pPr>
      <w:keepLines/>
      <w:tabs>
        <w:tab w:val="clear" w:pos="720"/>
        <w:tab w:val="center" w:pos="4320" w:leader="none"/>
        <w:tab w:val="right" w:pos="8640" w:leader="none"/>
      </w:tabs>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600" w:after="0"/>
    </w:pPr>
    <w:rPr>
      <w:sz w:val="18"/>
    </w:rPr>
  </w:style>
  <w:style w:type="paragraph" w:styleId="Header">
    <w:name w:val="header"/>
    <w:basedOn w:val="HeaderBase"/>
    <w:pPr>
      <w:spacing w:before="0" w:after="600"/>
    </w:pPr>
    <w:rPr/>
  </w:style>
  <w:style w:type="paragraph" w:styleId="HeadingBase">
    <w:name w:val="Heading Base"/>
    <w:basedOn w:val="BodyText"/>
    <w:next w:val="BodyText"/>
    <w:qFormat/>
    <w:pPr>
      <w:keepNext w:val="true"/>
      <w:keepLines/>
      <w:spacing w:before="0" w:after="0"/>
      <w:jc w:val="start"/>
    </w:pPr>
    <w:rPr>
      <w:rFonts w:ascii="Arial Black" w:hAnsi="Arial Black" w:cs="Arial Black"/>
      <w:spacing w:val="-10"/>
      <w:kern w:val="2"/>
    </w:rPr>
  </w:style>
  <w:style w:type="paragraph" w:styleId="MessageHeader">
    <w:name w:val="Message Header"/>
    <w:basedOn w:val="BodyText"/>
    <w:qFormat/>
    <w:pPr>
      <w:keepLines/>
      <w:spacing w:before="0" w:after="120"/>
      <w:ind w:hanging="720" w:start="720" w:end="0"/>
      <w:jc w:val="start"/>
    </w:pPr>
    <w:rPr/>
  </w:style>
  <w:style w:type="paragraph" w:styleId="MessageHeaderFirst">
    <w:name w:val="Message Header First"/>
    <w:basedOn w:val="MessageHeader"/>
    <w:next w:val="MessageHeader"/>
    <w:qFormat/>
    <w:pPr>
      <w:spacing w:before="220" w:after="120"/>
    </w:pPr>
    <w:rPr/>
  </w:style>
  <w:style w:type="paragraph" w:styleId="MessageHeaderLast">
    <w:name w:val="Message Header Last"/>
    <w:basedOn w:val="MessageHeader"/>
    <w:next w:val="BodyText"/>
    <w:qFormat/>
    <w:pPr>
      <w:pBdr>
        <w:bottom w:val="single" w:sz="6" w:space="15" w:color="000000"/>
      </w:pBdr>
      <w:spacing w:before="0" w:after="320"/>
    </w:pPr>
    <w:rPr/>
  </w:style>
  <w:style w:type="paragraph" w:styleId="NormalIndent">
    <w:name w:val="Normal Indent"/>
    <w:basedOn w:val="Normal"/>
    <w:qFormat/>
    <w:pPr>
      <w:ind w:hanging="0" w:start="720" w:end="0"/>
    </w:pPr>
    <w:rPr/>
  </w:style>
  <w:style w:type="paragraph" w:styleId="ReturnAddress">
    <w:name w:val="Return Address"/>
    <w:basedOn w:val="Normal"/>
    <w:qFormat/>
    <w:pPr>
      <w:keepLines/>
      <w:spacing w:lineRule="atLeast" w:line="200"/>
    </w:pPr>
    <w:rPr>
      <w:spacing w:val="-2"/>
      <w:sz w:val="16"/>
    </w:rPr>
  </w:style>
  <w:style w:type="paragraph" w:styleId="Signature">
    <w:name w:val="Signature"/>
    <w:basedOn w:val="BodyText"/>
    <w:pPr>
      <w:keepNext w:val="true"/>
      <w:keepLines/>
      <w:spacing w:before="660" w:after="0"/>
    </w:pPr>
    <w:rPr/>
  </w:style>
  <w:style w:type="paragraph" w:styleId="SignatureJobTitle">
    <w:name w:val="Signature Job Title"/>
    <w:basedOn w:val="Signature"/>
    <w:next w:val="Normal"/>
    <w:qFormat/>
    <w:pPr>
      <w:spacing w:before="0" w:after="0"/>
      <w:jc w:val="start"/>
    </w:pPr>
    <w:rPr/>
  </w:style>
  <w:style w:type="paragraph" w:styleId="SignatureName">
    <w:name w:val="Signature Name"/>
    <w:basedOn w:val="Signature"/>
    <w:next w:val="SignatureJobTitle"/>
    <w:qFormat/>
    <w:pPr>
      <w:spacing w:before="720" w:after="0"/>
      <w:jc w:val="star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Professional Memo</Template>
  <TotalTime>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2000-10-26T13:22:00Z</dcterms:created>
  <dc:creator>Seabron Adamson</dc:creator>
  <dc:description/>
  <dc:language>en-CA</dc:language>
  <cp:lastModifiedBy>Seabron Adamson</cp:lastModifiedBy>
  <dcterms:modified xsi:type="dcterms:W3CDTF">2000-10-26T14:14:00Z</dcterms:modified>
  <cp:revision>5</cp:revision>
  <dc:subject/>
  <dc:title>Memo</dc:title>
</cp:coreProperties>
</file>