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November 21, 2000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Heading1"/>
        <w:ind w:hanging="0" w:start="0"/>
        <w:rPr/>
      </w:pPr>
      <w:r>
        <w:rPr/>
        <w:t>Via Hand Delivery</w:t>
      </w:r>
    </w:p>
    <w:p>
      <w:pPr>
        <w:pStyle w:val="Normal"/>
        <w:rPr/>
      </w:pPr>
      <w:r>
        <w:rPr/>
      </w:r>
    </w:p>
    <w:p>
      <w:pPr>
        <w:pStyle w:val="Normal"/>
        <w:jc w:val="both"/>
        <w:rPr/>
      </w:pPr>
      <w:r>
        <w:rPr/>
        <w:t>Mr. John T. Sickman</w:t>
      </w:r>
    </w:p>
    <w:p>
      <w:pPr>
        <w:pStyle w:val="Normal"/>
        <w:jc w:val="both"/>
        <w:rPr/>
      </w:pPr>
      <w:r>
        <w:rPr/>
        <w:t>President and CEO</w:t>
      </w:r>
    </w:p>
    <w:p>
      <w:pPr>
        <w:pStyle w:val="Normal"/>
        <w:jc w:val="both"/>
        <w:rPr/>
      </w:pPr>
      <w:r>
        <w:rPr/>
        <w:t>Duke Energy LNG Sales</w:t>
      </w:r>
    </w:p>
    <w:p>
      <w:pPr>
        <w:pStyle w:val="Normal"/>
        <w:jc w:val="both"/>
        <w:rPr/>
      </w:pPr>
      <w:r>
        <w:rPr/>
        <w:t>P.O. Box 1642</w:t>
      </w:r>
    </w:p>
    <w:p>
      <w:pPr>
        <w:pStyle w:val="Normal"/>
        <w:jc w:val="both"/>
        <w:rPr/>
      </w:pPr>
      <w:r>
        <w:rPr/>
        <w:t>Houston, Texas  77251-1642</w:t>
      </w:r>
    </w:p>
    <w:p>
      <w:pPr>
        <w:pStyle w:val="Normal"/>
        <w:jc w:val="both"/>
        <w:rPr/>
      </w:pPr>
      <w:r>
        <w:rPr/>
      </w:r>
    </w:p>
    <w:p>
      <w:pPr>
        <w:pStyle w:val="Normal"/>
        <w:ind w:hanging="720" w:start="1440" w:end="1260"/>
        <w:jc w:val="both"/>
        <w:rPr>
          <w:b/>
          <w:bCs/>
          <w:i/>
          <w:i/>
          <w:iCs/>
        </w:rPr>
      </w:pPr>
      <w:r>
        <w:rPr>
          <w:b/>
          <w:bCs/>
          <w:i/>
          <w:iCs/>
        </w:rPr>
        <w:t>Re:</w:t>
        <w:tab/>
        <w:t>Citrus Trading Corp.'s Initial Position Concerning Redetermination of Price and Escalation Provisions of Amendment and Restatement of Gas Purchase Contract</w:t>
      </w:r>
    </w:p>
    <w:p>
      <w:pPr>
        <w:pStyle w:val="Normal"/>
        <w:jc w:val="both"/>
        <w:rPr>
          <w:b/>
          <w:bCs/>
          <w:i/>
          <w:i/>
          <w:iCs/>
        </w:rPr>
      </w:pPr>
      <w:r>
        <w:rPr>
          <w:b/>
          <w:bCs/>
          <w:i/>
          <w:iCs/>
        </w:rPr>
      </w:r>
    </w:p>
    <w:p>
      <w:pPr>
        <w:pStyle w:val="Normal"/>
        <w:jc w:val="both"/>
        <w:rPr/>
      </w:pPr>
      <w:r>
        <w:rPr/>
        <w:t>Dear John:</w:t>
      </w:r>
    </w:p>
    <w:p>
      <w:pPr>
        <w:pStyle w:val="Normal"/>
        <w:jc w:val="both"/>
        <w:rPr/>
      </w:pPr>
      <w:r>
        <w:rPr/>
      </w:r>
    </w:p>
    <w:p>
      <w:pPr>
        <w:pStyle w:val="Normal"/>
        <w:jc w:val="both"/>
        <w:rPr/>
      </w:pPr>
      <w:r>
        <w:rPr/>
        <w:tab/>
        <w:t>Pursuant to Article III of the Amendment and Restatement of Gas Purchase Contract as a Transaction Agreement Pursuant to Master Firm Purchase/Sale Agreement (the "</w:t>
      </w:r>
      <w:r>
        <w:rPr>
          <w:u w:val="single"/>
        </w:rPr>
        <w:t>Agreement</w:t>
      </w:r>
      <w:r>
        <w:rPr/>
        <w:t>"), Citrus Trading Corp. takes the following Initial Position:</w:t>
      </w:r>
    </w:p>
    <w:p>
      <w:pPr>
        <w:pStyle w:val="Normal"/>
        <w:jc w:val="both"/>
        <w:rPr/>
      </w:pPr>
      <w:r>
        <w:rPr/>
      </w:r>
    </w:p>
    <w:p>
      <w:pPr>
        <w:pStyle w:val="BlockText"/>
        <w:rPr/>
      </w:pPr>
      <w:r>
        <w:rPr/>
        <w:t>The redetermined price should be 0.925 of the Equivalent MMBtu Price of No. 6 Fuel Oil, one percent (1%) sulfur, less the applicable cost of transportation.  The applicable cost of transportation equals Florida Gas Transmission Company's Gas Tariff FTS-1 (Firm Transportation Service), as approved by FERC.</w:t>
      </w:r>
    </w:p>
    <w:p>
      <w:pPr>
        <w:pStyle w:val="Normal"/>
        <w:ind w:start="720" w:end="1440"/>
        <w:jc w:val="both"/>
        <w:rPr/>
      </w:pPr>
      <w:r>
        <w:rPr/>
      </w:r>
    </w:p>
    <w:p>
      <w:pPr>
        <w:pStyle w:val="BodyTextIndent"/>
        <w:rPr/>
      </w:pPr>
      <w:r>
        <w:rPr/>
        <w:t>Citrus Trading Corp.'s Initial Position is the highest price that may be charged under the Agreement, and is neither less than the Floor Price nor more than the Ceiling Price.  As Article III, Section 7 provides:</w:t>
      </w:r>
    </w:p>
    <w:p>
      <w:pPr>
        <w:pStyle w:val="Normal"/>
        <w:ind w:firstLine="720" w:end="0"/>
        <w:jc w:val="both"/>
        <w:rPr/>
      </w:pPr>
      <w:r>
        <w:rPr/>
      </w:r>
    </w:p>
    <w:p>
      <w:pPr>
        <w:pStyle w:val="BlockText"/>
        <w:rPr/>
      </w:pPr>
      <w:r>
        <w:rPr>
          <w:b/>
          <w:bCs/>
        </w:rPr>
        <w:t>In no event shall the redetermined price ever exceed</w:t>
      </w:r>
      <w:r>
        <w:rPr/>
        <w:t xml:space="preserve"> 0.925 of the Equivalent MMBtu Price of No. 6 Fuel Oil, one percent (1%) sulfur, less the applicable cost of transportation in effect for each contract Month thereafter, nor shall such redetermined price ever be less than the Floor Price, or more than the Ceiling Price.  (Emphasis added.)</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Citrus Trading Corp. believes that the escalation provisions set forth in Article III of the Agreement are appropriate.  Accordingly, Citrus Trading Corp does not seek a redetermination of such escalation provisions.</w:t>
      </w:r>
    </w:p>
    <w:p>
      <w:pPr>
        <w:pStyle w:val="Normal"/>
        <w:ind w:firstLine="720" w:end="0"/>
        <w:jc w:val="both"/>
        <w:rPr/>
      </w:pPr>
      <w:r>
        <w:rPr/>
        <w:tab/>
        <w:tab/>
        <w:tab/>
      </w:r>
    </w:p>
    <w:p>
      <w:pPr>
        <w:pStyle w:val="Normal"/>
        <w:ind w:firstLine="720" w:start="1440" w:end="0"/>
        <w:jc w:val="both"/>
        <w:rPr/>
      </w:pPr>
      <w:r>
        <w:rPr/>
        <w:tab/>
        <w:tab/>
        <w:tab/>
        <w:tab/>
        <w:t>Sincerely,</w:t>
      </w:r>
    </w:p>
    <w:p>
      <w:pPr>
        <w:pStyle w:val="Normal"/>
        <w:ind w:firstLine="720" w:start="1440" w:end="0"/>
        <w:jc w:val="both"/>
        <w:rPr/>
      </w:pPr>
      <w:r>
        <w:rPr/>
      </w:r>
    </w:p>
    <w:p>
      <w:pPr>
        <w:pStyle w:val="Normal"/>
        <w:ind w:firstLine="720" w:start="1440" w:end="0"/>
        <w:jc w:val="both"/>
        <w:rPr/>
      </w:pPr>
      <w:r>
        <w:rPr/>
      </w:r>
    </w:p>
    <w:p>
      <w:pPr>
        <w:pStyle w:val="Normal"/>
        <w:ind w:firstLine="720" w:start="1440" w:end="0"/>
        <w:jc w:val="both"/>
        <w:rPr/>
      </w:pPr>
      <w:r>
        <w:rPr/>
      </w:r>
    </w:p>
    <w:p>
      <w:pPr>
        <w:pStyle w:val="Normal"/>
        <w:ind w:firstLine="720" w:start="1440" w:end="0"/>
        <w:jc w:val="both"/>
        <w:rPr/>
      </w:pPr>
      <w:r>
        <w:rPr/>
      </w:r>
    </w:p>
    <w:p>
      <w:pPr>
        <w:pStyle w:val="Normal"/>
        <w:ind w:firstLine="720" w:start="1440" w:end="0"/>
        <w:jc w:val="both"/>
        <w:rPr/>
      </w:pPr>
      <w:r>
        <w:rPr/>
      </w:r>
    </w:p>
    <w:p>
      <w:pPr>
        <w:pStyle w:val="Normal"/>
        <w:tabs>
          <w:tab w:val="left" w:pos="720" w:leader="none"/>
        </w:tabs>
        <w:jc w:val="both"/>
        <w:rPr/>
      </w:pPr>
      <w:r>
        <w:rPr/>
        <w:t>cc:</w:t>
        <w:tab/>
        <w:t>Ms. Patricia Caycedo Smith</w:t>
      </w:r>
    </w:p>
    <w:p>
      <w:pPr>
        <w:pStyle w:val="Normal"/>
        <w:tabs>
          <w:tab w:val="left" w:pos="720" w:leader="none"/>
        </w:tabs>
        <w:jc w:val="both"/>
        <w:rPr/>
      </w:pPr>
      <w:r>
        <w:rPr/>
        <w:tab/>
        <w:t>Assistant General Counsel</w:t>
      </w:r>
    </w:p>
    <w:p>
      <w:pPr>
        <w:pStyle w:val="Normal"/>
        <w:tabs>
          <w:tab w:val="left" w:pos="720" w:leader="none"/>
        </w:tabs>
        <w:jc w:val="both"/>
        <w:rPr/>
      </w:pPr>
      <w:r>
        <w:rPr/>
        <w:tab/>
        <w:t>Duke Energy International, L.L.C.</w:t>
      </w:r>
    </w:p>
    <w:p>
      <w:pPr>
        <w:pStyle w:val="Normal"/>
        <w:tabs>
          <w:tab w:val="left" w:pos="720" w:leader="none"/>
        </w:tabs>
        <w:jc w:val="both"/>
        <w:rPr/>
      </w:pPr>
      <w:r>
        <w:rPr/>
        <w:tab/>
        <w:t>5400 Westheimer Court, 4J19</w:t>
      </w:r>
    </w:p>
    <w:p>
      <w:pPr>
        <w:pStyle w:val="Normal"/>
        <w:tabs>
          <w:tab w:val="left" w:pos="720" w:leader="none"/>
        </w:tabs>
        <w:jc w:val="both"/>
        <w:rPr/>
      </w:pPr>
      <w:r>
        <w:rPr/>
        <w:tab/>
        <w:t>Houston, Texas  77056-5310</w:t>
      </w:r>
    </w:p>
    <w:p>
      <w:pPr>
        <w:pStyle w:val="Normal"/>
        <w:tabs>
          <w:tab w:val="left" w:pos="720" w:leader="none"/>
        </w:tabs>
        <w:jc w:val="both"/>
        <w:rPr/>
      </w:pPr>
      <w:r>
        <w:rPr/>
      </w:r>
    </w:p>
    <w:p>
      <w:pPr>
        <w:pStyle w:val="Normal"/>
        <w:tabs>
          <w:tab w:val="left" w:pos="720" w:leader="none"/>
        </w:tabs>
        <w:jc w:val="both"/>
        <w:rPr/>
      </w:pPr>
      <w:r>
        <w:rPr/>
        <w:t>cc:</w:t>
        <w:tab/>
        <w:t>Mr. Steven L. Smith</w:t>
      </w:r>
    </w:p>
    <w:p>
      <w:pPr>
        <w:pStyle w:val="Normal"/>
        <w:tabs>
          <w:tab w:val="left" w:pos="720" w:leader="none"/>
        </w:tabs>
        <w:jc w:val="both"/>
        <w:rPr/>
      </w:pPr>
      <w:r>
        <w:rPr/>
        <w:tab/>
        <w:t>O'Melvery &amp; Meyers LLP</w:t>
      </w:r>
    </w:p>
    <w:p>
      <w:pPr>
        <w:pStyle w:val="Normal"/>
        <w:tabs>
          <w:tab w:val="left" w:pos="720" w:leader="none"/>
        </w:tabs>
        <w:jc w:val="both"/>
        <w:rPr/>
      </w:pPr>
      <w:r>
        <w:rPr/>
        <w:tab/>
        <w:t>Embarcadera Center West</w:t>
      </w:r>
    </w:p>
    <w:p>
      <w:pPr>
        <w:pStyle w:val="Normal"/>
        <w:tabs>
          <w:tab w:val="left" w:pos="720" w:leader="none"/>
        </w:tabs>
        <w:jc w:val="both"/>
        <w:rPr/>
      </w:pPr>
      <w:r>
        <w:rPr/>
        <w:tab/>
        <w:t>275 Battery Street</w:t>
      </w:r>
    </w:p>
    <w:p>
      <w:pPr>
        <w:pStyle w:val="Normal"/>
        <w:tabs>
          <w:tab w:val="left" w:pos="720" w:leader="none"/>
        </w:tabs>
        <w:jc w:val="both"/>
        <w:rPr/>
      </w:pPr>
      <w:r>
        <w:rPr/>
        <w:tab/>
        <w:t>San Francisco, California  94111-3305</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/mnt/main-storage/datasets/enron-docs/doc/00_105.doc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Duke Energy LNG Sales</w:t>
    </w:r>
  </w:p>
  <w:p>
    <w:pPr>
      <w:pStyle w:val="Header"/>
      <w:rPr/>
    </w:pPr>
    <w:r>
      <w:rPr/>
      <w:t>November 21, 2000</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1440"/>
      <w:jc w:val="both"/>
    </w:pPr>
    <w:rPr/>
  </w:style>
  <w:style w:type="paragraph" w:styleId="BodyTextIndent">
    <w:name w:val="Body Text Indent"/>
    <w:basedOn w:val="Normal"/>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2000-11-20T18:58:00Z</dcterms:created>
  <dc:creator>jhelton</dc:creator>
  <dc:description/>
  <dc:language>en-CA</dc:language>
  <cp:lastModifiedBy>jhelton</cp:lastModifiedBy>
  <cp:lastPrinted>2000-11-20T16:47:00Z</cp:lastPrinted>
  <dcterms:modified xsi:type="dcterms:W3CDTF">2000-11-20T20:27:00Z</dcterms:modified>
  <cp:revision>2</cp:revision>
  <dc:subject/>
  <dc:title>November 20, 2000</dc:title>
</cp:coreProperties>
</file>