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media/image2.png" ContentType="image/png"/>
  <Override PartName="/word/media/image3.wmf" ContentType="image/x-wmf"/>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center"/>
        <w:rPr>
          <w:rFonts w:ascii="System" w:hAnsi="System"/>
          <w:b/>
          <w:sz w:val="20"/>
        </w:rPr>
      </w:pPr>
      <w:r>
        <w:rPr/>
        <w:drawing>
          <wp:anchor behindDoc="0" distT="0" distB="0" distL="114935" distR="114935" simplePos="0" locked="0" layoutInCell="0" allowOverlap="1" relativeHeight="3">
            <wp:simplePos x="0" y="0"/>
            <wp:positionH relativeFrom="column">
              <wp:posOffset>5029200</wp:posOffset>
            </wp:positionH>
            <wp:positionV relativeFrom="paragraph">
              <wp:posOffset>342900</wp:posOffset>
            </wp:positionV>
            <wp:extent cx="1188720" cy="731520"/>
            <wp:effectExtent l="0" t="0" r="0" b="0"/>
            <wp:wrapSquare wrapText="bothSides"/>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tretch>
                      <a:fillRect/>
                    </a:stretch>
                  </pic:blipFill>
                  <pic:spPr bwMode="auto">
                    <a:xfrm>
                      <a:off x="0" y="0"/>
                      <a:ext cx="1188720" cy="731520"/>
                    </a:xfrm>
                    <a:prstGeom prst="rect">
                      <a:avLst/>
                    </a:prstGeom>
                    <a:noFill/>
                  </pic:spPr>
                </pic:pic>
              </a:graphicData>
            </a:graphic>
          </wp:anchor>
        </w:drawing>
        <w:drawing>
          <wp:anchor behindDoc="0" distT="0" distB="0" distL="114935" distR="114935" simplePos="0" locked="0" layoutInCell="0" allowOverlap="1" relativeHeight="4">
            <wp:simplePos x="0" y="0"/>
            <wp:positionH relativeFrom="column">
              <wp:posOffset>-685800</wp:posOffset>
            </wp:positionH>
            <wp:positionV relativeFrom="paragraph">
              <wp:posOffset>228600</wp:posOffset>
            </wp:positionV>
            <wp:extent cx="914400" cy="822960"/>
            <wp:effectExtent l="0" t="0" r="0" b="0"/>
            <wp:wrapSquare wrapText="bothSides"/>
            <wp:docPr id="2"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title=""/>
                    <pic:cNvPicPr>
                      <a:picLocks noChangeAspect="1" noChangeArrowheads="1"/>
                    </pic:cNvPicPr>
                  </pic:nvPicPr>
                  <pic:blipFill>
                    <a:blip r:embed="rId3"/>
                    <a:stretch>
                      <a:fillRect/>
                    </a:stretch>
                  </pic:blipFill>
                  <pic:spPr bwMode="auto">
                    <a:xfrm>
                      <a:off x="0" y="0"/>
                      <a:ext cx="914400" cy="822960"/>
                    </a:xfrm>
                    <a:prstGeom prst="rect">
                      <a:avLst/>
                    </a:prstGeom>
                    <a:noFill/>
                  </pic:spPr>
                </pic:pic>
              </a:graphicData>
            </a:graphic>
          </wp:anchor>
        </w:drawing>
        <w:drawing>
          <wp:inline distT="0" distB="0" distL="0" distR="0">
            <wp:extent cx="3620770" cy="789305"/>
            <wp:effectExtent l="0" t="0" r="0" b="0"/>
            <wp:docPr id="3" name="Image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descr="" title=""/>
                    <pic:cNvPicPr>
                      <a:picLocks noChangeAspect="1" noChangeArrowheads="1"/>
                    </pic:cNvPicPr>
                  </pic:nvPicPr>
                  <pic:blipFill>
                    <a:blip r:embed="rId4"/>
                    <a:stretch>
                      <a:fillRect/>
                    </a:stretch>
                  </pic:blipFill>
                  <pic:spPr bwMode="auto">
                    <a:xfrm>
                      <a:off x="0" y="0"/>
                      <a:ext cx="3620770" cy="789305"/>
                    </a:xfrm>
                    <a:prstGeom prst="rect">
                      <a:avLst/>
                    </a:prstGeom>
                    <a:noFill/>
                  </pic:spPr>
                </pic:pic>
              </a:graphicData>
            </a:graphic>
          </wp:inline>
        </w:drawing>
      </w:r>
    </w:p>
    <w:p>
      <w:pPr>
        <w:pStyle w:val="Normal"/>
        <w:bidi w:val="0"/>
        <w:ind w:hanging="0" w:start="-180" w:end="540"/>
        <w:jc w:val="center"/>
        <w:rPr>
          <w:b/>
          <w:sz w:val="20"/>
          <w:u w:val="single"/>
        </w:rPr>
      </w:pPr>
      <w:r>
        <w:rPr>
          <w:b/>
          <w:sz w:val="20"/>
          <w:u w:val="single"/>
        </w:rPr>
      </w:r>
    </w:p>
    <w:p>
      <w:pPr>
        <w:pStyle w:val="Normal"/>
        <w:numPr>
          <w:ilvl w:val="0"/>
          <w:numId w:val="0"/>
        </w:numPr>
        <w:bidi w:val="0"/>
        <w:ind w:hanging="0" w:start="-180" w:end="540"/>
        <w:jc w:val="center"/>
        <w:outlineLvl w:val="0"/>
        <w:rPr>
          <w:b/>
          <w:i/>
          <w:i/>
          <w:sz w:val="20"/>
          <w:u w:val="single"/>
        </w:rPr>
      </w:pPr>
      <w:r>
        <w:rPr>
          <w:b/>
          <w:i/>
          <w:sz w:val="20"/>
          <w:u w:val="single"/>
        </w:rPr>
        <w:t>Product Description:</w:t>
      </w:r>
    </w:p>
    <w:p>
      <w:pPr>
        <w:pStyle w:val="Heading2"/>
        <w:bidi w:val="0"/>
        <w:ind w:hanging="0" w:start="-180" w:end="540"/>
        <w:rPr>
          <w:rFonts w:ascii="Times New Roman" w:hAnsi="Times New Roman"/>
        </w:rPr>
      </w:pPr>
      <w:r>
        <w:rPr>
          <w:u w:val="single"/>
        </w:rPr>
        <w:t>Volume Weighted Average Price (eVWAP™) Trading System</w:t>
      </w:r>
    </w:p>
    <w:p>
      <w:pPr>
        <w:pStyle w:val="Normal"/>
        <w:numPr>
          <w:ilvl w:val="0"/>
          <w:numId w:val="0"/>
        </w:numPr>
        <w:bidi w:val="0"/>
        <w:ind w:hanging="0" w:start="-180" w:end="540"/>
        <w:jc w:val="center"/>
        <w:outlineLvl w:val="0"/>
        <w:rPr>
          <w:b/>
          <w:sz w:val="20"/>
        </w:rPr>
      </w:pPr>
      <w:r>
        <w:rPr>
          <w:b/>
          <w:sz w:val="20"/>
        </w:rPr>
      </w:r>
    </w:p>
    <w:p>
      <w:pPr>
        <w:pStyle w:val="BlockText"/>
        <w:bidi w:val="0"/>
        <w:ind w:hanging="0" w:start="-180" w:end="540"/>
        <w:rPr>
          <w:rFonts w:ascii="Times New Roman" w:hAnsi="Times New Roman"/>
          <w:sz w:val="20"/>
        </w:rPr>
      </w:pPr>
      <w:r>
        <w:rPr>
          <w:sz w:val="20"/>
        </w:rPr>
      </w:r>
    </w:p>
    <w:p>
      <w:pPr>
        <w:pStyle w:val="BlockText"/>
        <w:bidi w:val="0"/>
        <w:ind w:hanging="0" w:start="-180" w:end="540"/>
        <w:rPr>
          <w:rFonts w:ascii="Times New Roman" w:hAnsi="Times New Roman"/>
          <w:sz w:val="20"/>
        </w:rPr>
      </w:pPr>
      <w:r>
        <w:rPr>
          <w:sz w:val="20"/>
        </w:rPr>
        <w:t>eVWAP™ is a fully automated unique pricing and execution system that permits its participants to execute trades on eVWAP™-eligible stocks.  The system has been fully approved by the SEC on March 24, 1999 as a facility of the Philadelphia Stock Exchange (PHLX). eVWAP™ is the average price for a specific stock, weighted by the volume of shares of that stock traded “regular way” during the day on all security exchanges throughout the United States as reported to the Consolidated Tape. The eVWAP™ calculation incorporates corrections, cancels, and data retransmits to ensure a reproducible, error free, “glass box” standard.  eVWAP™ is unique in that it provides:</w:t>
      </w:r>
    </w:p>
    <w:p>
      <w:pPr>
        <w:pStyle w:val="Normal"/>
        <w:bidi w:val="0"/>
        <w:ind w:hanging="0" w:start="-180" w:end="540"/>
        <w:jc w:val="both"/>
        <w:rPr>
          <w:sz w:val="20"/>
        </w:rPr>
      </w:pPr>
      <w:r>
        <w:rPr>
          <w:sz w:val="20"/>
        </w:rPr>
      </w:r>
    </w:p>
    <w:p>
      <w:pPr>
        <w:pStyle w:val="Normal"/>
        <w:numPr>
          <w:ilvl w:val="0"/>
          <w:numId w:val="1"/>
        </w:numPr>
        <w:tabs>
          <w:tab w:val="left" w:pos="720" w:leader="none"/>
        </w:tabs>
        <w:bidi w:val="0"/>
        <w:ind w:hanging="0" w:start="180" w:end="540"/>
        <w:jc w:val="both"/>
        <w:rPr>
          <w:sz w:val="20"/>
        </w:rPr>
      </w:pPr>
      <w:r>
        <w:rPr>
          <w:sz w:val="20"/>
        </w:rPr>
        <w:t>New Channel of Liquidity</w:t>
      </w:r>
    </w:p>
    <w:p>
      <w:pPr>
        <w:pStyle w:val="Heading1"/>
        <w:numPr>
          <w:ilvl w:val="0"/>
          <w:numId w:val="2"/>
        </w:numPr>
        <w:tabs>
          <w:tab w:val="left" w:pos="720" w:leader="none"/>
        </w:tabs>
        <w:bidi w:val="0"/>
        <w:ind w:hanging="0" w:start="180" w:end="540"/>
        <w:rPr>
          <w:rFonts w:ascii="Times New Roman" w:hAnsi="Times New Roman"/>
          <w:sz w:val="20"/>
        </w:rPr>
      </w:pPr>
      <w:r>
        <w:rPr>
          <w:sz w:val="20"/>
        </w:rPr>
        <w:t>A Precise Pricing Standard</w:t>
      </w:r>
    </w:p>
    <w:p>
      <w:pPr>
        <w:pStyle w:val="Heading1"/>
        <w:numPr>
          <w:ilvl w:val="0"/>
          <w:numId w:val="3"/>
        </w:numPr>
        <w:tabs>
          <w:tab w:val="left" w:pos="720" w:leader="none"/>
        </w:tabs>
        <w:bidi w:val="0"/>
        <w:ind w:hanging="0" w:start="180" w:end="540"/>
        <w:rPr>
          <w:rFonts w:ascii="Times New Roman" w:hAnsi="Times New Roman"/>
          <w:sz w:val="20"/>
        </w:rPr>
      </w:pPr>
      <w:r>
        <w:rPr>
          <w:sz w:val="20"/>
        </w:rPr>
        <w:t>Guaranteed End-to-End Anonymity</w:t>
      </w:r>
    </w:p>
    <w:p>
      <w:pPr>
        <w:pStyle w:val="Heading1"/>
        <w:numPr>
          <w:ilvl w:val="0"/>
          <w:numId w:val="4"/>
        </w:numPr>
        <w:tabs>
          <w:tab w:val="left" w:pos="720" w:leader="none"/>
        </w:tabs>
        <w:bidi w:val="0"/>
        <w:ind w:hanging="0" w:start="180" w:end="540"/>
        <w:rPr>
          <w:rFonts w:ascii="Times New Roman" w:hAnsi="Times New Roman"/>
          <w:sz w:val="20"/>
        </w:rPr>
      </w:pPr>
      <w:r>
        <w:rPr>
          <w:sz w:val="20"/>
        </w:rPr>
        <w:t>Zero Market Impact</w:t>
      </w:r>
    </w:p>
    <w:p>
      <w:pPr>
        <w:pStyle w:val="Heading1"/>
        <w:numPr>
          <w:ilvl w:val="0"/>
          <w:numId w:val="4"/>
        </w:numPr>
        <w:tabs>
          <w:tab w:val="left" w:pos="720" w:leader="none"/>
        </w:tabs>
        <w:bidi w:val="0"/>
        <w:ind w:hanging="0" w:start="180" w:end="540"/>
        <w:rPr>
          <w:rFonts w:ascii="Times New Roman" w:hAnsi="Times New Roman"/>
          <w:sz w:val="20"/>
        </w:rPr>
      </w:pPr>
      <w:r>
        <w:rPr>
          <w:sz w:val="20"/>
        </w:rPr>
        <w:t>Reduced Transaction Costs</w:t>
      </w:r>
    </w:p>
    <w:p>
      <w:pPr>
        <w:pStyle w:val="Normal"/>
        <w:numPr>
          <w:ilvl w:val="0"/>
          <w:numId w:val="4"/>
        </w:numPr>
        <w:tabs>
          <w:tab w:val="left" w:pos="720" w:leader="none"/>
        </w:tabs>
        <w:bidi w:val="0"/>
        <w:ind w:hanging="0" w:start="180" w:end="540"/>
        <w:jc w:val="both"/>
        <w:rPr>
          <w:sz w:val="20"/>
        </w:rPr>
      </w:pPr>
      <w:r>
        <w:rPr>
          <w:sz w:val="20"/>
        </w:rPr>
        <w:t>Multiple Electronic Access Pathways</w:t>
      </w:r>
    </w:p>
    <w:p>
      <w:pPr>
        <w:pStyle w:val="Normal"/>
        <w:numPr>
          <w:ilvl w:val="0"/>
          <w:numId w:val="4"/>
        </w:numPr>
        <w:tabs>
          <w:tab w:val="left" w:pos="720" w:leader="none"/>
        </w:tabs>
        <w:bidi w:val="0"/>
        <w:ind w:hanging="0" w:start="180" w:end="540"/>
        <w:jc w:val="both"/>
        <w:rPr>
          <w:sz w:val="20"/>
        </w:rPr>
      </w:pPr>
      <w:r>
        <w:rPr>
          <w:sz w:val="20"/>
        </w:rPr>
        <w:t>No Human Intervention in the Trading Process</w:t>
      </w:r>
    </w:p>
    <w:p>
      <w:pPr>
        <w:pStyle w:val="Normal"/>
        <w:numPr>
          <w:ilvl w:val="0"/>
          <w:numId w:val="4"/>
        </w:numPr>
        <w:tabs>
          <w:tab w:val="left" w:pos="720" w:leader="none"/>
        </w:tabs>
        <w:bidi w:val="0"/>
        <w:ind w:hanging="0" w:start="180" w:end="540"/>
        <w:jc w:val="both"/>
        <w:rPr>
          <w:sz w:val="20"/>
        </w:rPr>
      </w:pPr>
      <w:r>
        <w:rPr>
          <w:sz w:val="20"/>
        </w:rPr>
        <w:t>Pre-opening Confirmation of Trades</w:t>
      </w:r>
    </w:p>
    <w:p>
      <w:pPr>
        <w:pStyle w:val="Normal"/>
        <w:bidi w:val="0"/>
        <w:ind w:hanging="540" w:start="180" w:end="540"/>
        <w:jc w:val="both"/>
        <w:rPr>
          <w:sz w:val="20"/>
        </w:rPr>
      </w:pPr>
      <w:r>
        <w:rPr>
          <w:sz w:val="20"/>
        </w:rPr>
      </w:r>
    </w:p>
    <w:p>
      <w:pPr>
        <w:pStyle w:val="BodyText"/>
        <w:bidi w:val="0"/>
        <w:ind w:hanging="0" w:start="-180" w:end="540"/>
        <w:rPr>
          <w:rFonts w:ascii="Times New Roman" w:hAnsi="Times New Roman"/>
          <w:sz w:val="20"/>
        </w:rPr>
      </w:pPr>
      <w:r>
        <w:rPr>
          <w:sz w:val="20"/>
        </w:rPr>
        <w:t>eVWAP™ electronically protects participants’ identities, orders, trades, residuals and contra-side identities completely through T+3 settlement and clearing.  Participants’ orders are entered by 9:15a.m. EST and receive secure electronic reports confirming their executed trades at 9:20 a.m. EST, and their eVWAP™ prices at 4:20 p.m. EST, respectively.</w:t>
      </w:r>
    </w:p>
    <w:p>
      <w:pPr>
        <w:pStyle w:val="Normal"/>
        <w:bidi w:val="0"/>
        <w:ind w:hanging="0" w:start="-180" w:end="540"/>
        <w:jc w:val="both"/>
        <w:rPr>
          <w:sz w:val="20"/>
        </w:rPr>
      </w:pPr>
      <w:r>
        <w:rPr>
          <w:sz w:val="20"/>
        </w:rPr>
      </w:r>
    </w:p>
    <w:p>
      <w:pPr>
        <w:pStyle w:val="Normal"/>
        <w:bidi w:val="0"/>
        <w:ind w:hanging="0" w:start="-180" w:end="540"/>
        <w:jc w:val="both"/>
        <w:rPr>
          <w:sz w:val="20"/>
        </w:rPr>
      </w:pPr>
      <w:r>
        <w:rPr>
          <w:sz w:val="20"/>
        </w:rPr>
        <w:t>The pre-open eVWAP™ match, as provided only via the eVWAP™ on the PHLX provides “mutual satisfaction” and “best execution” within a highly liquid, totally anonymous, electronic trading environment and should not be confused with “time-sliced” or “volume-weighted composite prices” that do not provide such advantages to the investor.  eVWAP™ is short-sell exempt from the “tick test” of Rule 10a-1 of the Exchange Act.  PHLX transaction costs are low because there is no human intervention in the process.</w:t>
      </w:r>
    </w:p>
    <w:p>
      <w:pPr>
        <w:pStyle w:val="Normal"/>
        <w:bidi w:val="0"/>
        <w:ind w:hanging="0" w:start="-180" w:end="540"/>
        <w:jc w:val="both"/>
        <w:rPr>
          <w:sz w:val="20"/>
        </w:rPr>
      </w:pPr>
      <w:r>
        <w:rPr>
          <w:sz w:val="20"/>
        </w:rPr>
      </w:r>
    </w:p>
    <w:p>
      <w:pPr>
        <w:pStyle w:val="BodyText"/>
        <w:bidi w:val="0"/>
        <w:ind w:hanging="0" w:start="-180" w:end="540"/>
        <w:rPr>
          <w:rFonts w:ascii="Times New Roman" w:hAnsi="Times New Roman"/>
          <w:sz w:val="20"/>
        </w:rPr>
      </w:pPr>
      <w:r>
        <w:rPr>
          <w:sz w:val="20"/>
        </w:rPr>
        <w:t>eVWAP™ is available to Exchanges, Institutions, Broker/Dealers, and other financial intermediaries (excluding hedge funds).  Firms and their designated traders must be enrolled to use eVWAP™.  Institutions and PHLX non-members must arrange for a member of the Stock Clearing Corporation of Philadelphia (SCCP) to sign a simple one page “bilateral give-up clearing agreement” to use eVWAP™.  A variety of electronic access pathways exist so that trading room environments can be easily integrated to eVWAP™ using global communications services that are secure and reliable (as well as the FIX standard or the Internet).  Participants need only accept the eVWAP™ shrink-wrap license agreement to utilize eVWAP™ software, hardware, and communications links.</w:t>
      </w:r>
    </w:p>
    <w:p>
      <w:pPr>
        <w:pStyle w:val="BodyText"/>
        <w:bidi w:val="0"/>
        <w:ind w:hanging="0" w:start="-180" w:end="540"/>
        <w:rPr>
          <w:rFonts w:ascii="Times New Roman" w:hAnsi="Times New Roman"/>
          <w:sz w:val="20"/>
        </w:rPr>
      </w:pPr>
      <w:r>
        <w:rPr>
          <w:sz w:val="20"/>
        </w:rPr>
      </w:r>
    </w:p>
    <w:p>
      <w:pPr>
        <w:pStyle w:val="BodyText2"/>
        <w:bidi w:val="0"/>
        <w:ind w:hanging="0" w:start="-180"/>
        <w:jc w:val="start"/>
        <w:rPr>
          <w:rFonts w:ascii="Times New Roman" w:hAnsi="Times New Roman"/>
        </w:rPr>
      </w:pPr>
      <w:r>
        <w:rPr/>
        <w:t xml:space="preserve">In addition to pre-open trade executions at the eVWAP™, eVWAP™ provides automated post-market clearing, settlement, and billing.  This is accomplished via a straight-through process engineered to electronically provide necessary transaction and fee data directly to each SCCP clearing firm and to protect contra-side identity by inserting a SCCP omnibus account as the contra-side to every side of every eVWAP™ trade.  </w:t>
      </w:r>
      <w:r>
        <w:rPr>
          <w:sz w:val="18"/>
        </w:rPr>
        <w:t>(00-1025-03)</w:t>
      </w:r>
    </w:p>
    <w:sectPr>
      <w:type w:val="nextPage"/>
      <w:pgSz w:w="12240" w:h="15840"/>
      <w:pgMar w:left="1620" w:right="1440" w:gutter="0" w:header="0" w:top="360" w:footer="0"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Liberation Sans">
    <w:altName w:val="Arial"/>
    <w:charset w:val="01" w:characterSet="utf-8"/>
    <w:family w:val="swiss"/>
    <w:pitch w:val="variable"/>
  </w:font>
  <w:font w:name="System">
    <w:charset w:val="01" w:characterSet="utf-8"/>
    <w:family w:val="roman"/>
    <w:pitch w:val="variable"/>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85"/>
  <w:defaultTabStop w:val="720"/>
  <w:autoHyphenation w:val="true"/>
  <w:doNotHyphenateCaps/>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suppressAutoHyphens w:val="true"/>
      <w:bidi w:val="0"/>
    </w:pPr>
    <w:rPr>
      <w:rFonts w:ascii="Times New Roman" w:hAnsi="Times New Roman" w:eastAsia="System" w:cs="Times New Roman"/>
      <w:color w:val="auto"/>
      <w:kern w:val="2"/>
      <w:sz w:val="24"/>
      <w:szCs w:val="24"/>
      <w:lang w:val="en-CA" w:eastAsia="zh-CN" w:bidi="hi-IN"/>
    </w:rPr>
  </w:style>
  <w:style w:type="paragraph" w:styleId="Heading1">
    <w:name w:val="heading 1"/>
    <w:basedOn w:val="Normal"/>
    <w:next w:val="Normal"/>
    <w:qFormat/>
    <w:pPr>
      <w:keepNext w:val="true"/>
      <w:widowControl/>
      <w:ind w:end="540"/>
      <w:jc w:val="both"/>
      <w:outlineLvl w:val="0"/>
    </w:pPr>
    <w:rPr/>
  </w:style>
  <w:style w:type="paragraph" w:styleId="Heading2">
    <w:name w:val="heading 2"/>
    <w:basedOn w:val="Normal"/>
    <w:next w:val="Normal"/>
    <w:qFormat/>
    <w:pPr>
      <w:keepNext w:val="true"/>
      <w:widowControl/>
      <w:ind w:hanging="0" w:start="-900" w:end="540"/>
      <w:jc w:val="center"/>
      <w:outlineLvl w:val="1"/>
    </w:pPr>
    <w:rPr>
      <w:b/>
      <w:i/>
      <w:sz w:val="20"/>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lockText">
    <w:name w:val="Block Text"/>
    <w:basedOn w:val="Normal"/>
    <w:qFormat/>
    <w:pPr>
      <w:widowControl/>
      <w:tabs>
        <w:tab w:val="left" w:pos="720" w:leader="none"/>
      </w:tabs>
      <w:ind w:hanging="0" w:start="-900" w:end="540"/>
      <w:jc w:val="both"/>
    </w:pPr>
    <w:rPr/>
  </w:style>
  <w:style w:type="paragraph" w:styleId="BodyText2">
    <w:name w:val="Body Text 2"/>
    <w:basedOn w:val="Normal"/>
    <w:qFormat/>
    <w:pPr>
      <w:widowControl/>
    </w:pPr>
    <w:rPr>
      <w:sz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image" Target="media/image3.wmf"/><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ages>99</Pages>
  <Words>0</Words>
  <Characters>0</Characters>
  <CharactersWithSpaces>0</CharactersWithSpaces>
  <Company>WCH</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2000-10-24T10:30:00Z</dcterms:created>
  <dc:creator>aweimmer</dc:creator>
  <dc:description/>
  <dc:language>en-CA</dc:language>
  <cp:lastModifiedBy/>
  <cp:lastPrinted>2000-10-25T10:14:00Z</cp:lastPrinted>
  <dcterms:modified xsi:type="dcterms:W3CDTF">2000-10-25T10:14:00Z</dcterms:modified>
  <cp:revision>3</cp:revision>
  <dc:subject/>
  <dc:title>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JenM</vt:lpwstr>
  </property>
</Properties>
</file>