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b/>
          <w:sz w:val="32"/>
        </w:rPr>
        <w:t>The Business Case For Participating In the GlobalCashExchange</w:t>
      </w:r>
    </w:p>
    <w:p>
      <w:pPr>
        <w:pStyle w:val="Normal"/>
        <w:jc w:val="center"/>
        <w:rPr>
          <w:sz w:val="28"/>
        </w:rPr>
      </w:pPr>
      <w:r>
        <w:rPr>
          <w:sz w:val="28"/>
        </w:rPr>
        <w:t>(Executive Summary for Corporate Beta Users)</w:t>
      </w:r>
    </w:p>
    <w:p>
      <w:pPr>
        <w:pStyle w:val="Normal"/>
        <w:rPr>
          <w:sz w:val="28"/>
        </w:rPr>
      </w:pPr>
      <w:r>
        <w:rPr>
          <w:sz w:val="28"/>
        </w:rPr>
      </w:r>
    </w:p>
    <w:p>
      <w:pPr>
        <w:pStyle w:val="Normal"/>
        <w:rPr>
          <w:sz w:val="28"/>
        </w:rPr>
      </w:pPr>
      <w:r>
        <w:rPr>
          <w:sz w:val="28"/>
        </w:rPr>
        <w:t xml:space="preserve">Even as growth in the domestic economy continues, an ever bigger share of global corporate growth objectives will have to be fulfilled in large emerging markets like Brazil, Mexico, China, India, Philippines, Turkey, Thailand and Russia.  As a result, the importance of the challenges all companies face in managing their assets and performance in these weak currency markets is also increasing.  Finally, few of the service providers and initiatives seeking to automate, or transform cash management and currency transactions address the core issues that the corporations, the ‘buy-side’, face.  In simple terms, current processes and infrastructures have become a major impediment, and now threaten to throttle vital growth in new markets.  GlobalCashExchange is a structural solution for supporting growth in the larger new markets in particular. </w:t>
      </w:r>
    </w:p>
    <w:p>
      <w:pPr>
        <w:pStyle w:val="Normal"/>
        <w:rPr>
          <w:sz w:val="18"/>
        </w:rPr>
      </w:pPr>
      <w:r>
        <w:rPr>
          <w:sz w:val="18"/>
        </w:rPr>
      </w:r>
    </w:p>
    <w:p>
      <w:pPr>
        <w:pStyle w:val="Normal"/>
        <w:rPr>
          <w:sz w:val="28"/>
        </w:rPr>
      </w:pPr>
      <w:r>
        <w:rPr>
          <w:sz w:val="28"/>
        </w:rPr>
        <w:t xml:space="preserve">We will use proven SEC approved technology to establish and operate a multi-principal trading exchange allowing corporate treasury functions to trade the value of thin currency cash positions far closer to the mid-point of the inter-bank rates.  Such an exchange, while it welcomes all sources of liquidity, has been specifically designed to aggregate and leverage ‘buy-side’ liquidity, provide trading options of best execution or best price, and eliminate counter-party risk while retaining full trading anonymity. </w:t>
      </w:r>
    </w:p>
    <w:p>
      <w:pPr>
        <w:pStyle w:val="Normal"/>
        <w:rPr>
          <w:sz w:val="18"/>
        </w:rPr>
      </w:pPr>
      <w:r>
        <w:rPr>
          <w:sz w:val="18"/>
        </w:rPr>
      </w:r>
    </w:p>
    <w:p>
      <w:pPr>
        <w:pStyle w:val="Normal"/>
        <w:rPr>
          <w:sz w:val="28"/>
        </w:rPr>
      </w:pPr>
      <w:r>
        <w:rPr>
          <w:sz w:val="28"/>
        </w:rPr>
        <w:t xml:space="preserve">Our goal is to create a more level playing field between the corporate sector and banking institutions with an exchange that allows corporations - - non-banking financial institutions (NBFIs), such as asset managers - - as well as banks, in effect, to make markets for both currencies and short term commercial loans. </w:t>
      </w:r>
    </w:p>
    <w:p>
      <w:pPr>
        <w:pStyle w:val="Normal"/>
        <w:rPr>
          <w:sz w:val="18"/>
        </w:rPr>
      </w:pPr>
      <w:r>
        <w:rPr>
          <w:sz w:val="18"/>
        </w:rPr>
      </w:r>
    </w:p>
    <w:p>
      <w:pPr>
        <w:pStyle w:val="Normal"/>
        <w:rPr>
          <w:sz w:val="28"/>
        </w:rPr>
      </w:pPr>
      <w:r>
        <w:rPr>
          <w:sz w:val="28"/>
        </w:rPr>
        <w:t xml:space="preserve">Let me explain our thinking in more detail: </w:t>
      </w:r>
    </w:p>
    <w:p>
      <w:pPr>
        <w:pStyle w:val="Normal"/>
        <w:rPr>
          <w:sz w:val="18"/>
        </w:rPr>
      </w:pPr>
      <w:r>
        <w:rPr>
          <w:sz w:val="18"/>
        </w:rPr>
      </w:r>
    </w:p>
    <w:p>
      <w:pPr>
        <w:pStyle w:val="Normal"/>
        <w:rPr>
          <w:sz w:val="28"/>
        </w:rPr>
      </w:pPr>
      <w:r>
        <w:rPr>
          <w:sz w:val="28"/>
        </w:rPr>
        <w:t>As I am sure you are aware, many new bank-based financial exchanges have been established in recent years.  Although these exchanges help simplify the process of purchasing foreign currency or raising capital, they do not permit corporations and other non-banking financial institutions (NBFIs) to make markets within them. The fact that you are prevented from making market in these exchanges means that you cannot obtain the same rates that banks do. In addition, because you currently must trade outside of the inter-bank rate, your total cost of trading currencies  - - spread, work process, settlement and clearing, and over all opportunity costs - - is unnecessarily high.</w:t>
      </w:r>
    </w:p>
    <w:p>
      <w:pPr>
        <w:pStyle w:val="Normal"/>
        <w:rPr>
          <w:sz w:val="16"/>
        </w:rPr>
      </w:pPr>
      <w:r>
        <w:rPr>
          <w:sz w:val="16"/>
        </w:rPr>
      </w:r>
    </w:p>
    <w:p>
      <w:pPr>
        <w:pStyle w:val="Normal"/>
        <w:rPr>
          <w:sz w:val="28"/>
        </w:rPr>
      </w:pPr>
      <w:r>
        <w:rPr>
          <w:sz w:val="28"/>
        </w:rPr>
        <w:t xml:space="preserve">To redress the imbalance of the current structures, we are establishing the equivalent of EBS (Electronic Broking Service, www.ebsp.com) in which the corporations and NBFIs can also make market anonymously. In addition, the exchange will allow corporations, all credit enhanced to a AAA ratings, to lend to and borrow from each other, as well as transacting with banks and other NBFI.  This is the definition of a  multi-principal exchange, if you will. </w:t>
      </w:r>
    </w:p>
    <w:p>
      <w:pPr>
        <w:pStyle w:val="Normal"/>
        <w:rPr>
          <w:sz w:val="28"/>
        </w:rPr>
      </w:pPr>
      <w:r>
        <w:rPr>
          <w:sz w:val="28"/>
        </w:rPr>
      </w:r>
    </w:p>
    <w:p>
      <w:pPr>
        <w:pStyle w:val="Normal"/>
        <w:rPr>
          <w:sz w:val="28"/>
        </w:rPr>
      </w:pPr>
      <w:r>
        <w:rPr>
          <w:sz w:val="28"/>
        </w:rPr>
        <w:t xml:space="preserve">This exchange creates both a more effective and efficient mechanism for acquiring and allocating capital globally.  Corporations will have new options and means to exchange working capital with their peers while maintaining complete anonymity. In this way, they will achieve much better rates of borrowing and lending.  When capital is repatriated, total costs of transaction should drop, and over time spreads narrow.  All this will increase the availability of working capital, reduce your need for working capital and increase your returns.  </w:t>
      </w:r>
    </w:p>
    <w:p>
      <w:pPr>
        <w:pStyle w:val="Normal"/>
        <w:rPr>
          <w:sz w:val="28"/>
        </w:rPr>
      </w:pPr>
      <w:r>
        <w:rPr>
          <w:sz w:val="28"/>
        </w:rPr>
        <w:t xml:space="preserve"> </w:t>
      </w:r>
    </w:p>
    <w:p>
      <w:pPr>
        <w:pStyle w:val="Normal"/>
        <w:rPr>
          <w:sz w:val="28"/>
        </w:rPr>
      </w:pPr>
      <w:r>
        <w:rPr>
          <w:sz w:val="28"/>
        </w:rPr>
        <w:t>There are structural, jurisdictional and competitive reasons why such an exchange does not yet exist.  These are no longer justified, functionally or economically, and should now be relegated to history.  The main obstacles we can now overcome are:</w:t>
      </w:r>
    </w:p>
    <w:p>
      <w:pPr>
        <w:pStyle w:val="Normal"/>
        <w:rPr>
          <w:sz w:val="28"/>
        </w:rPr>
      </w:pPr>
      <w:r>
        <w:rPr>
          <w:sz w:val="28"/>
        </w:rPr>
      </w:r>
    </w:p>
    <w:p>
      <w:pPr>
        <w:pStyle w:val="Normal"/>
        <w:numPr>
          <w:ilvl w:val="0"/>
          <w:numId w:val="1"/>
        </w:numPr>
        <w:rPr>
          <w:sz w:val="28"/>
        </w:rPr>
      </w:pPr>
      <w:r>
        <w:rPr>
          <w:b/>
          <w:sz w:val="28"/>
        </w:rPr>
        <w:t>No central market place</w:t>
      </w:r>
      <w:r>
        <w:rPr>
          <w:sz w:val="28"/>
        </w:rPr>
        <w:t xml:space="preserve"> – Until the advent of Internet, a central market place where the requirements of all participants could be represented could not exist. Only the largest banks had access to this information or could react to it, and then any one bank, only partially. This problem is obviously solved with the existence of the Internet.</w:t>
      </w:r>
    </w:p>
    <w:p>
      <w:pPr>
        <w:pStyle w:val="Normal"/>
        <w:rPr>
          <w:sz w:val="28"/>
        </w:rPr>
      </w:pPr>
      <w:r>
        <w:rPr>
          <w:sz w:val="28"/>
        </w:rPr>
      </w:r>
    </w:p>
    <w:p>
      <w:pPr>
        <w:pStyle w:val="Normal"/>
        <w:numPr>
          <w:ilvl w:val="0"/>
          <w:numId w:val="1"/>
        </w:numPr>
        <w:rPr>
          <w:sz w:val="28"/>
        </w:rPr>
      </w:pPr>
      <w:r>
        <w:rPr>
          <w:b/>
          <w:sz w:val="28"/>
        </w:rPr>
        <w:t>Counterparty risk</w:t>
      </w:r>
      <w:r>
        <w:rPr>
          <w:sz w:val="28"/>
        </w:rPr>
        <w:t xml:space="preserve"> - We have found a volume credit-enhancement provider who insure certain and specified volume of transactions. Under this service, all participants will be qualified in advance and, in effect, credit enhanced to AAA.  Aggregating and indemnifying the total pool of obligations, as opposed to insuring each participant, or transaction separately, results in insurance costs less than the typical mono-line underwriting.  Th insurance cost will be part of a membership fee to join the exchange.</w:t>
      </w:r>
    </w:p>
    <w:p>
      <w:pPr>
        <w:pStyle w:val="Normal"/>
        <w:rPr>
          <w:sz w:val="18"/>
        </w:rPr>
      </w:pPr>
      <w:r>
        <w:rPr>
          <w:sz w:val="18"/>
        </w:rPr>
      </w:r>
    </w:p>
    <w:p>
      <w:pPr>
        <w:pStyle w:val="Normal"/>
        <w:numPr>
          <w:ilvl w:val="0"/>
          <w:numId w:val="1"/>
        </w:numPr>
        <w:rPr>
          <w:sz w:val="28"/>
        </w:rPr>
      </w:pPr>
      <w:r>
        <w:rPr>
          <w:b/>
          <w:sz w:val="28"/>
        </w:rPr>
        <w:t>Liquidity</w:t>
      </w:r>
      <w:r>
        <w:rPr>
          <w:sz w:val="28"/>
        </w:rPr>
        <w:t xml:space="preserve"> -You help yourself by creating and using Global Cash Exchange. Your participation will help increase this market’s liquidity. </w:t>
      </w:r>
    </w:p>
    <w:p>
      <w:pPr>
        <w:pStyle w:val="Normal"/>
        <w:rPr>
          <w:sz w:val="18"/>
        </w:rPr>
      </w:pPr>
      <w:r>
        <w:rPr>
          <w:sz w:val="18"/>
        </w:rPr>
      </w:r>
    </w:p>
    <w:p>
      <w:pPr>
        <w:pStyle w:val="BodyTextIndent"/>
        <w:rPr>
          <w:sz w:val="28"/>
        </w:rPr>
      </w:pPr>
      <w:r>
        <w:rPr>
          <w:sz w:val="28"/>
        </w:rPr>
        <w:t>The foreign exchange component of the exchange combines the best of breed, proven, SEC approved technologies to offer  a continuous market and a half-hour auction. During the day, offers to buy or sell currency will be posted on the exchange.  This information will be visible to all participants, active or not.  Other participants, corporations and NBFIs, can bid on posted offers, analogous to what banks do on the bank-based exchanges. When the offers are not matched, the exchange, with permission of the company posting the offer, will trade the currency through the banking system to obtain the best rates on the market. This service becomes very valuable for smaller sized transactions, where the amounts are aggregated and better rates are obtained.  Furthermore, we can aggregate and outsource the smaller sized transactions to the exchange.</w:t>
      </w:r>
    </w:p>
    <w:p>
      <w:pPr>
        <w:pStyle w:val="Normal"/>
        <w:rPr>
          <w:b/>
          <w:sz w:val="28"/>
        </w:rPr>
      </w:pPr>
      <w:r>
        <w:rPr>
          <w:b/>
          <w:sz w:val="28"/>
        </w:rPr>
      </w:r>
    </w:p>
    <w:p>
      <w:pPr>
        <w:pStyle w:val="BodyTextIndent"/>
        <w:rPr>
          <w:sz w:val="28"/>
        </w:rPr>
      </w:pPr>
      <w:r>
        <w:rPr>
          <w:sz w:val="28"/>
        </w:rPr>
        <w:t>At the end of each trading day, there will be a half-hour auction. This mechanism will help funnel all the remaining liquidity into a certain point in time. This auction will significantly increase liquidity and the likelihood of your transactions being matched. In order to reduce currency risk, offers on the exchange will be posted based on a spread around the mid-point of the inter-bank rate. In emerging markets, where this information is not available, the rate will be obtained through averaging the five best rates provided by banks to an independent third party.</w:t>
      </w:r>
    </w:p>
    <w:p>
      <w:pPr>
        <w:pStyle w:val="BodyTextIndent"/>
        <w:rPr>
          <w:sz w:val="28"/>
        </w:rPr>
      </w:pPr>
      <w:r>
        <w:rPr>
          <w:sz w:val="28"/>
        </w:rPr>
      </w:r>
    </w:p>
    <w:p>
      <w:pPr>
        <w:pStyle w:val="Normal"/>
        <w:rPr>
          <w:sz w:val="28"/>
        </w:rPr>
      </w:pPr>
      <w:r>
        <w:rPr>
          <w:sz w:val="28"/>
        </w:rPr>
        <w:t>The exchange will initially focus on softer currencies, where liquidity is much less and the spreads are much larger. In time we will enter hard currencies and offer forwards. The final objective of this exchange is to create a short term Commercial Paper market in every part of the world. This is made possible since we have accounted for the counterparty risk using the volume credit enhancement facility.</w:t>
      </w:r>
    </w:p>
    <w:p>
      <w:pPr>
        <w:pStyle w:val="Normal"/>
        <w:rPr>
          <w:sz w:val="28"/>
        </w:rPr>
      </w:pPr>
      <w:r>
        <w:rPr>
          <w:sz w:val="28"/>
        </w:rPr>
      </w:r>
    </w:p>
    <w:p>
      <w:pPr>
        <w:pStyle w:val="Normal"/>
        <w:rPr>
          <w:sz w:val="28"/>
        </w:rPr>
      </w:pPr>
      <w:r>
        <w:rPr>
          <w:sz w:val="28"/>
        </w:rPr>
        <w:t xml:space="preserve">What we need from you at this stage is to help ensure that the user interface and work flow on our exchange is conducive to your corporate needs. I would, therefore, be grateful if members of our team could be given the opportunity to fully explain the objectives of this exchange and gain your team’s views about what they would want from such a system.  </w:t>
      </w:r>
    </w:p>
    <w:p>
      <w:pPr>
        <w:pStyle w:val="Normal"/>
        <w:rPr>
          <w:sz w:val="18"/>
        </w:rPr>
      </w:pPr>
      <w:r>
        <w:rPr>
          <w:sz w:val="18"/>
        </w:rPr>
      </w:r>
    </w:p>
    <w:p>
      <w:pPr>
        <w:pStyle w:val="Normal"/>
        <w:rPr>
          <w:sz w:val="28"/>
        </w:rPr>
      </w:pPr>
      <w:r>
        <w:rPr>
          <w:sz w:val="28"/>
        </w:rPr>
        <w:t xml:space="preserve">Our vision is to offer the main providers of liquidity within the world financial markets a market place in which they can also participate directly with each other.  This will enhance growth potential for all corporations, large and small, and for developing countries in particular. </w:t>
      </w:r>
    </w:p>
    <w:p>
      <w:pPr>
        <w:pStyle w:val="Normal"/>
        <w:rPr>
          <w:sz w:val="28"/>
        </w:rPr>
      </w:pPr>
      <w:r>
        <w:rPr>
          <w:sz w:val="28"/>
        </w:rPr>
      </w:r>
    </w:p>
    <w:p>
      <w:pPr>
        <w:pStyle w:val="Normal"/>
        <w:rPr>
          <w:sz w:val="28"/>
        </w:rPr>
      </w:pPr>
      <w:r>
        <w:rPr>
          <w:sz w:val="28"/>
        </w:rPr>
        <w:t>Please send comments and requests for additional information to:</w:t>
      </w:r>
    </w:p>
    <w:p>
      <w:pPr>
        <w:pStyle w:val="Normal"/>
        <w:rPr>
          <w:sz w:val="28"/>
        </w:rPr>
      </w:pPr>
      <w:r>
        <w:rPr>
          <w:sz w:val="28"/>
        </w:rPr>
      </w:r>
    </w:p>
    <w:p>
      <w:pPr>
        <w:pStyle w:val="Normal"/>
        <w:rPr>
          <w:sz w:val="24"/>
        </w:rPr>
      </w:pPr>
      <w:r>
        <w:rPr>
          <w:sz w:val="24"/>
        </w:rPr>
        <w:t>Vidar Jorgensen</w:t>
      </w:r>
    </w:p>
    <w:p>
      <w:pPr>
        <w:pStyle w:val="Normal"/>
        <w:rPr>
          <w:sz w:val="24"/>
        </w:rPr>
      </w:pPr>
      <w:r>
        <w:rPr>
          <w:sz w:val="24"/>
        </w:rPr>
        <w:t>Vice Chairman</w:t>
      </w:r>
    </w:p>
    <w:p>
      <w:pPr>
        <w:pStyle w:val="Normal"/>
        <w:rPr>
          <w:sz w:val="24"/>
        </w:rPr>
      </w:pPr>
      <w:r>
        <w:rPr>
          <w:sz w:val="24"/>
        </w:rPr>
        <w:t>GlobalCashExchange</w:t>
      </w:r>
    </w:p>
    <w:p>
      <w:pPr>
        <w:pStyle w:val="Normal"/>
        <w:rPr>
          <w:sz w:val="24"/>
        </w:rPr>
      </w:pPr>
      <w:r>
        <w:rPr>
          <w:sz w:val="24"/>
        </w:rPr>
        <w:t>500 West Cummings Park, Suite 5200</w:t>
      </w:r>
    </w:p>
    <w:p>
      <w:pPr>
        <w:pStyle w:val="Normal"/>
        <w:rPr>
          <w:sz w:val="24"/>
        </w:rPr>
      </w:pPr>
      <w:r>
        <w:rPr>
          <w:sz w:val="24"/>
        </w:rPr>
        <w:t>Woburn, MA  01801</w:t>
      </w:r>
    </w:p>
    <w:p>
      <w:pPr>
        <w:pStyle w:val="Normal"/>
        <w:rPr>
          <w:sz w:val="24"/>
        </w:rPr>
      </w:pPr>
      <w:r>
        <w:rPr>
          <w:sz w:val="24"/>
        </w:rPr>
        <w:t>P:  781-939-2572</w:t>
      </w:r>
    </w:p>
    <w:p>
      <w:pPr>
        <w:pStyle w:val="Normal"/>
        <w:rPr>
          <w:sz w:val="24"/>
        </w:rPr>
      </w:pPr>
      <w:r>
        <w:rPr>
          <w:sz w:val="24"/>
        </w:rPr>
        <w:t>F:  781-939-2574</w:t>
      </w:r>
    </w:p>
    <w:p>
      <w:pPr>
        <w:pStyle w:val="Normal"/>
        <w:rPr/>
      </w:pPr>
      <w:r>
        <w:rPr>
          <w:sz w:val="24"/>
        </w:rPr>
        <w:t>vidar@cbinet.com</w:t>
      </w:r>
      <w:r>
        <w:rPr>
          <w:sz w:val="28"/>
        </w:rPr>
        <w:tab/>
        <w:tab/>
        <w:tab/>
        <w:tab/>
        <w:tab/>
        <w:tab/>
        <w:tab/>
      </w:r>
      <w:r>
        <w:rPr>
          <w:sz w:val="18"/>
        </w:rPr>
        <w:t>00-1018-06/jm(business)</w:t>
      </w:r>
    </w:p>
    <w:sectPr>
      <w:type w:val="nextPage"/>
      <w:pgSz w:w="11906" w:h="16838"/>
      <w:pgMar w:left="1440" w:right="1440" w:gutter="0" w:header="0" w:top="1440" w:footer="0" w:bottom="7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2000-10-18T17:24:00Z</dcterms:created>
  <dc:creator>review</dc:creator>
  <dc:description/>
  <dc:language>en-CA</dc:language>
  <cp:lastModifiedBy>JenM</cp:lastModifiedBy>
  <cp:lastPrinted>2000-11-08T10:41:00Z</cp:lastPrinted>
  <dcterms:modified xsi:type="dcterms:W3CDTF">2000-11-08T13:13:00Z</dcterms:modified>
  <cp:revision>40</cp:revision>
  <dc:subject/>
  <dc:title>Dear …</dc:title>
</cp:coreProperties>
</file>