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pPr>
      <w:r>
        <w:rPr/>
      </w:r>
    </w:p>
    <w:p>
      <w:pPr>
        <w:pStyle w:val="Normal"/>
        <w:jc w:val="center"/>
        <w:rPr>
          <w:b/>
          <w:bCs/>
          <w:sz w:val="24"/>
        </w:rPr>
      </w:pPr>
      <w:r>
        <w:rPr>
          <w:b/>
          <w:bCs/>
          <w:sz w:val="24"/>
        </w:rPr>
        <w:t>Material/Suggestions for EOB pleading</w:t>
      </w:r>
    </w:p>
    <w:p>
      <w:pPr>
        <w:pStyle w:val="Normal"/>
        <w:jc w:val="start"/>
        <w:rPr>
          <w:b/>
          <w:bCs/>
          <w:sz w:val="24"/>
        </w:rPr>
      </w:pPr>
      <w:r>
        <w:rPr>
          <w:b/>
          <w:bCs/>
          <w:sz w:val="24"/>
        </w:rPr>
      </w:r>
    </w:p>
    <w:p>
      <w:pPr>
        <w:pStyle w:val="Normal"/>
        <w:jc w:val="start"/>
        <w:rPr>
          <w:b/>
          <w:bCs/>
          <w:i/>
          <w:i/>
          <w:iCs/>
        </w:rPr>
      </w:pPr>
      <w:r>
        <w:rPr>
          <w:b/>
          <w:bCs/>
          <w:i/>
          <w:iCs/>
        </w:rPr>
        <w:t>Basic competitiveness of AS markets – many suppliers</w:t>
      </w:r>
    </w:p>
    <w:p>
      <w:pPr>
        <w:pStyle w:val="BodyText2"/>
        <w:rPr>
          <w:b/>
          <w:bCs/>
          <w:i/>
          <w:i/>
          <w:iCs/>
        </w:rPr>
      </w:pPr>
      <w:r>
        <w:rPr/>
        <w:t>One of my colleagues is pulling together something on this. Should be done in the next hour or two.</w:t>
      </w:r>
    </w:p>
    <w:p>
      <w:pPr>
        <w:pStyle w:val="Normal"/>
        <w:jc w:val="start"/>
        <w:rPr>
          <w:b/>
          <w:bCs/>
          <w:i/>
          <w:i/>
          <w:iCs/>
        </w:rPr>
      </w:pPr>
      <w:r>
        <w:rPr>
          <w:b/>
          <w:bCs/>
          <w:i/>
          <w:iCs/>
        </w:rPr>
        <w:t>EOB Complaint – Para 6, p.6 – prices have been greatly above the production costs of the highest cost units participating in California’s markets.</w:t>
      </w:r>
    </w:p>
    <w:p>
      <w:pPr>
        <w:pStyle w:val="Normal"/>
        <w:spacing w:before="0" w:after="120"/>
        <w:rPr/>
      </w:pPr>
      <w:r>
        <w:rPr/>
        <w:t>The EOB has made two fundamental economic errors in suggesting that because market prices have exceeded the variable production costs of the highest cost units on the system, then market outcomes are necessarily indicative of the failures of competition. First, prices in any market, even under the rarefied assumptions of pure competition, must exceed the marginal costs of the highest price units under periods of scarcity. These scarcity rents are indeed required – not only for economic efficiency – but to pay for the fixed and sunk costs of building generation. Without such scarcity rents the market cannot function, and California will never have any new generation. Enron doubts that even the EOB sees this as an attractive alternative.</w:t>
      </w:r>
    </w:p>
    <w:p>
      <w:pPr>
        <w:pStyle w:val="Normal"/>
        <w:spacing w:before="0" w:after="120"/>
        <w:rPr/>
      </w:pPr>
      <w:r>
        <w:rPr/>
        <w:t>Second, the EOB neglects to note that efficient bidding in a market includes the full opportunity costs of making sales.  Over the period of June 26</w:t>
      </w:r>
      <w:r>
        <w:rPr>
          <w:vertAlign w:val="superscript"/>
        </w:rPr>
        <w:t>th</w:t>
      </w:r>
      <w:r>
        <w:rPr/>
        <w:t>-30</w:t>
      </w:r>
      <w:r>
        <w:rPr>
          <w:vertAlign w:val="superscript"/>
        </w:rPr>
        <w:t>th</w:t>
      </w:r>
      <w:r>
        <w:rPr/>
        <w:t xml:space="preserve"> for example, as noted by the EOB, prices in the ISO’s markets were at or near the $750/MWh cap for many hours.</w:t>
      </w:r>
      <w:r>
        <w:rPr>
          <w:rStyle w:val="FootnoteCharacters"/>
          <w:rStyle w:val="FootnoteReference"/>
        </w:rPr>
        <w:footnoteReference w:id="2"/>
      </w:r>
      <w:r>
        <w:rPr/>
        <w:t xml:space="preserve"> Yet the briefest review of the facts would show that prices throughout the WSCC were very high on those days, reflecting true scarcity across the West in a market far larger than California. For example, on-peak firm price at the Four Corners trading point on June 28-30</w:t>
      </w:r>
      <w:r>
        <w:rPr>
          <w:vertAlign w:val="superscript"/>
        </w:rPr>
        <w:t>th</w:t>
      </w:r>
      <w:r>
        <w:rPr/>
        <w:t xml:space="preserve"> averaged over $500/MWh. </w:t>
      </w:r>
      <w:r>
        <w:rPr>
          <w:rStyle w:val="FootnoteCharacters"/>
          <w:rStyle w:val="FootnoteReference"/>
        </w:rPr>
        <w:footnoteReference w:id="3"/>
      </w:r>
      <w:r>
        <w:rPr/>
        <w:t xml:space="preserve"> Where opportunities to sell at higher prices exist outside of California, then bids to the PX should legitimately reflect these opportunity costs. </w:t>
      </w:r>
    </w:p>
    <w:p>
      <w:pPr>
        <w:pStyle w:val="Normal"/>
        <w:jc w:val="start"/>
        <w:rPr>
          <w:b/>
          <w:bCs/>
          <w:i/>
          <w:i/>
          <w:iCs/>
        </w:rPr>
      </w:pPr>
      <w:r>
        <w:rPr>
          <w:b/>
          <w:bCs/>
          <w:i/>
          <w:iCs/>
        </w:rPr>
        <w:t>EOB Complaint – Para 9, p.8 – $250/MWh cap is high enough to cover the variable costs of production</w:t>
      </w:r>
    </w:p>
    <w:p>
      <w:pPr>
        <w:pStyle w:val="BodyText2"/>
        <w:spacing w:before="0" w:after="120"/>
        <w:jc w:val="both"/>
        <w:rPr/>
      </w:pPr>
      <w:r>
        <w:rPr/>
        <w:t>The EOB appears to be fundamentally confused about the difference between variable and average costs. Entry and exit decisions are driven by the latter, not the former. The claim that $250/MWh will cover the variable costs of an inefficient gas turbine unit, as suggested by EOB, quoting the work of SDG&amp;E, is irrelevant. What is important is that the average revenues received by peaking generators are sufficient, on an expected value basis, to cover the risk-adjusted costs of investment. The variable costs are but a small portion of the total levelized cost of a gas turbine operating at a low load factor. These flexible gas turbines are needed in California to preserve reliability, as noted by the California Energy Commission and others.</w:t>
      </w:r>
    </w:p>
    <w:p>
      <w:pPr>
        <w:pStyle w:val="BodyText2"/>
        <w:spacing w:before="0" w:after="120"/>
        <w:jc w:val="both"/>
        <w:rPr/>
      </w:pPr>
      <w:r>
        <w:rPr/>
        <w:t xml:space="preserve">Even using EOB and SDG&amp;E assumptions, would it be sufficient to impose a $250/MWh price cap on the top 5% of demand hours? It would not. For in most months of the year, the peak prices are much lower than this price. Applying a cap at say a $250/MWh will cap average prices at a much lower level, since prices in shoulder months are much lower. Not only is the EOB confused about basic economics – it appears to have neglected grade-school arithmetic as well. </w:t>
      </w:r>
      <w:r>
        <w:rPr>
          <w:b/>
          <w:bCs/>
          <w:color w:val="0000FF"/>
        </w:rPr>
        <w:t>[OK, pretty harsh, take it out if you want – S.]</w:t>
      </w:r>
      <w:r>
        <w:rPr/>
        <w:t xml:space="preserve"> </w:t>
      </w:r>
    </w:p>
    <w:p>
      <w:pPr>
        <w:pStyle w:val="BodyText2"/>
        <w:spacing w:before="0" w:after="120"/>
        <w:jc w:val="both"/>
        <w:rPr/>
      </w:pPr>
      <w:r>
        <w:rPr/>
        <w:t>Economists agree that an efficient market will allow scarcity rent to be collected in the market. The EOB’s proposal for low price caps is antithetical to efficiency, and should be rejected.</w:t>
      </w:r>
    </w:p>
    <w:p>
      <w:pPr>
        <w:pStyle w:val="Normal"/>
        <w:jc w:val="start"/>
        <w:rPr>
          <w:b/>
          <w:bCs/>
          <w:i/>
          <w:i/>
          <w:iCs/>
        </w:rPr>
      </w:pPr>
      <w:r>
        <w:rPr>
          <w:b/>
          <w:bCs/>
          <w:i/>
          <w:iCs/>
        </w:rPr>
        <w:t>EOB Complaint – Para 10,  p. 11 – The penalty for underscheduling will fall disproportionally on load</w:t>
      </w:r>
    </w:p>
    <w:p>
      <w:pPr>
        <w:pStyle w:val="BodyText2"/>
        <w:jc w:val="both"/>
        <w:rPr/>
      </w:pPr>
      <w:r>
        <w:rPr/>
        <w:t xml:space="preserve">The EOB errs when it suggests that generators looking to be paid the equivalent market prices for out-of-market (OOM) calls is necessarily reflective of withholding. Actually the prices paid this summer by the Cal ISO for out-of-market calls also reflects the scarcity – and subsequent high prices – of power throughout the West. The EOB claims that any penalty for “underscheduling” should not fall disproportionally on load. This claim ignores the fundamental cost drivers that affect the ISO’s operations. All SCs must submit balanced day ahead schedules. When additional generation appears, in the form of supplemental energy bids, the ISO is free not to take them. Generators are offering an option to the ISO for supplemental energy. The ISO has no such freedom with the case of load appearing in real-time – all load must be served irregardless, and the ISO has no option of not serving load that appears in real-time, due to the UDCs underscheduling to maximize their CTC revenues. Unexpected extra load drives the ISO’s operational problems, not unexpected generation offers, which the ISO is under no obligation to accept. </w:t>
      </w:r>
    </w:p>
    <w:p>
      <w:pPr>
        <w:pStyle w:val="BodyText2"/>
        <w:jc w:val="both"/>
        <w:rPr/>
      </w:pPr>
      <w:r>
        <w:rPr/>
      </w:r>
    </w:p>
    <w:p>
      <w:pPr>
        <w:pStyle w:val="BodyText2"/>
        <w:spacing w:before="0" w:after="120"/>
        <w:jc w:val="both"/>
        <w:rPr/>
      </w:pPr>
      <w:r>
        <w:rPr/>
      </w:r>
    </w:p>
    <w:p>
      <w:pPr>
        <w:pStyle w:val="BodyText2"/>
        <w:spacing w:before="0" w:after="120"/>
        <w:jc w:val="both"/>
        <w:rPr/>
      </w:pPr>
      <w:r>
        <w:rPr/>
      </w:r>
    </w:p>
    <w:p>
      <w:pPr>
        <w:pStyle w:val="Normal"/>
        <w:spacing w:before="0" w:after="120"/>
        <w:rPr>
          <w:b/>
          <w:bCs/>
          <w:i/>
          <w:i/>
          <w:iCs/>
        </w:rPr>
      </w:pPr>
      <w:r>
        <w:rPr>
          <w:b/>
          <w:bCs/>
          <w:i/>
          <w:iCs/>
        </w:rPr>
      </w:r>
    </w:p>
    <w:p>
      <w:pPr>
        <w:pStyle w:val="Normal"/>
        <w:jc w:val="start"/>
        <w:rPr>
          <w:b/>
          <w:bCs/>
          <w:i/>
          <w:i/>
          <w:iCs/>
        </w:rPr>
      </w:pPr>
      <w:r>
        <w:rPr>
          <w:b/>
          <w:bCs/>
          <w:i/>
          <w:iCs/>
        </w:rPr>
      </w:r>
    </w:p>
    <w:p>
      <w:pPr>
        <w:pStyle w:val="Normal"/>
        <w:jc w:val="start"/>
        <w:rPr>
          <w:b/>
          <w:bCs/>
          <w:i/>
          <w:i/>
          <w:iCs/>
        </w:rPr>
      </w:pPr>
      <w:r>
        <w:rPr>
          <w:b/>
          <w:bCs/>
          <w:i/>
          <w:iCs/>
        </w:rPr>
      </w:r>
    </w:p>
    <w:p>
      <w:pPr>
        <w:pStyle w:val="Normal"/>
        <w:jc w:val="start"/>
        <w:rPr>
          <w:b/>
          <w:bCs/>
          <w:i/>
          <w:i/>
          <w:iCs/>
        </w:rPr>
      </w:pPr>
      <w:r>
        <w:rPr>
          <w:b/>
          <w:bCs/>
          <w:i/>
          <w:iCs/>
        </w:rPr>
      </w:r>
    </w:p>
    <w:p>
      <w:pPr>
        <w:pStyle w:val="Normal"/>
        <w:spacing w:before="0" w:after="240"/>
        <w:jc w:val="start"/>
        <w:rPr>
          <w:b/>
          <w:bCs/>
          <w:i/>
          <w:i/>
          <w:iCs/>
        </w:rPr>
      </w:pPr>
      <w:r>
        <w:rPr>
          <w:b/>
          <w:bCs/>
          <w:i/>
          <w:iCs/>
        </w:rPr>
      </w:r>
    </w:p>
    <w:sectPr>
      <w:footerReference w:type="default" r:id="rId2"/>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i/>
        <w:i/>
        <w:iCs/>
        <w:sz w:val="22"/>
      </w:rPr>
    </w:pPr>
    <w:r>
      <w:rPr>
        <w:b/>
        <w:bCs/>
        <w:i/>
        <w:iCs/>
        <w:sz w:val="22"/>
      </w:rPr>
      <w:t>DRAFT - Confidential</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EOB at 6. Full data on Cal PX congested prices is available at www.calpx.com.</w:t>
      </w:r>
    </w:p>
  </w:footnote>
  <w:footnote w:id="3">
    <w:p>
      <w:pPr>
        <w:pStyle w:val="FootnoteText"/>
        <w:suppressAutoHyphens w:val="true"/>
        <w:spacing w:before="0" w:after="240"/>
        <w:ind w:hanging="720" w:start="720" w:end="0"/>
        <w:rPr/>
      </w:pPr>
      <w:r>
        <w:rPr>
          <w:rStyle w:val="FootnoteCharacters"/>
        </w:rPr>
        <w:footnoteRef/>
      </w:r>
      <w:r>
        <w:rPr/>
        <w:t xml:space="preserve"> </w:t>
      </w:r>
      <w:r>
        <w:rPr/>
        <w:tab/>
        <w:t>These are daily prices for firm power for 6 a.m. to 10 p.m., from the Dow Jones Electricity Index. Since the price index covers such a broad peak period, hourly prices would have in many cases been much higher. High prices were also recorded at Palo Verde and at Mid-Columbia, hundreds of miles away. On many days over the summer of 2000 prices in the WSCC outside of California have been persistently higher than in California, showing that scarcity of generating capacity is not limited to California but is a regional phenomenon.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uppressAutoHyphens w:val="true"/>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uppressAutoHyphens w:val="true"/>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tabs>
        <w:tab w:val="left" w:pos="720" w:leader="none"/>
      </w:tabs>
      <w:suppressAutoHyphens w:val="true"/>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uppressAutoHyphens w:val="true"/>
      <w:spacing w:before="240" w:after="120"/>
      <w:ind w:hanging="864" w:start="864" w:end="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tabs>
        <w:tab w:val="clear" w:pos="720"/>
        <w:tab w:val="left" w:pos="1008" w:leader="none"/>
      </w:tabs>
      <w:suppressAutoHyphens w:val="true"/>
      <w:ind w:hanging="1008" w:start="1008" w:end="0"/>
      <w:outlineLvl w:val="4"/>
    </w:pPr>
    <w:rPr>
      <w:rFonts w:ascii="Book Antiqua" w:hAnsi="Book Antiqua" w:cs="Book Antiqua"/>
      <w:sz w:val="22"/>
      <w:lang w:val="en-US"/>
    </w:rPr>
  </w:style>
  <w:style w:type="paragraph" w:styleId="Heading6">
    <w:name w:val="heading 6"/>
    <w:basedOn w:val="Normal"/>
    <w:next w:val="Normal"/>
    <w:qFormat/>
    <w:pPr>
      <w:numPr>
        <w:ilvl w:val="5"/>
        <w:numId w:val="1"/>
      </w:numPr>
      <w:tabs>
        <w:tab w:val="clear" w:pos="720"/>
        <w:tab w:val="left" w:pos="1152" w:leader="none"/>
      </w:tabs>
      <w:suppressAutoHyphens w:val="true"/>
      <w:ind w:hanging="1152" w:start="1152" w:end="0"/>
      <w:outlineLvl w:val="5"/>
    </w:pPr>
    <w:rPr>
      <w:rFonts w:ascii="Book Antiqua" w:hAnsi="Book Antiqua" w:cs="Book Antiqua"/>
      <w:sz w:val="22"/>
      <w:lang w:val="en-US"/>
    </w:rPr>
  </w:style>
  <w:style w:type="paragraph" w:styleId="Heading7">
    <w:name w:val="heading 7"/>
    <w:basedOn w:val="Normal"/>
    <w:next w:val="Normal"/>
    <w:qFormat/>
    <w:pPr>
      <w:numPr>
        <w:ilvl w:val="6"/>
        <w:numId w:val="1"/>
      </w:numPr>
      <w:tabs>
        <w:tab w:val="clear" w:pos="720"/>
        <w:tab w:val="left" w:pos="1296" w:leader="none"/>
      </w:tabs>
      <w:suppressAutoHyphens w:val="true"/>
      <w:ind w:hanging="1296" w:start="1296" w:end="0"/>
      <w:outlineLvl w:val="6"/>
    </w:pPr>
    <w:rPr>
      <w:rFonts w:ascii="Book Antiqua" w:hAnsi="Book Antiqua" w:cs="Book Antiqua"/>
      <w:sz w:val="22"/>
      <w:lang w:val="en-US"/>
    </w:rPr>
  </w:style>
  <w:style w:type="paragraph" w:styleId="Heading8">
    <w:name w:val="heading 8"/>
    <w:basedOn w:val="Normal"/>
    <w:next w:val="Normal"/>
    <w:qFormat/>
    <w:pPr>
      <w:numPr>
        <w:ilvl w:val="7"/>
        <w:numId w:val="1"/>
      </w:numPr>
      <w:tabs>
        <w:tab w:val="clear" w:pos="720"/>
        <w:tab w:val="left" w:pos="1440" w:leader="none"/>
      </w:tabs>
      <w:suppressAutoHyphens w:val="true"/>
      <w:ind w:hanging="1440" w:start="1440" w:end="0"/>
      <w:outlineLvl w:val="7"/>
    </w:pPr>
    <w:rPr>
      <w:rFonts w:ascii="Book Antiqua" w:hAnsi="Book Antiqua" w:cs="Book Antiqua"/>
      <w:sz w:val="22"/>
      <w:lang w:val="en-US"/>
    </w:rPr>
  </w:style>
  <w:style w:type="paragraph" w:styleId="Heading9">
    <w:name w:val="heading 9"/>
    <w:basedOn w:val="Normal"/>
    <w:next w:val="Normal"/>
    <w:qFormat/>
    <w:pPr>
      <w:numPr>
        <w:ilvl w:val="8"/>
        <w:numId w:val="1"/>
      </w:numPr>
      <w:tabs>
        <w:tab w:val="clear" w:pos="720"/>
        <w:tab w:val="left" w:pos="1584" w:leader="none"/>
      </w:tabs>
      <w:suppressAutoHyphens w:val="true"/>
      <w:ind w:hanging="1584" w:start="1584" w:end="0"/>
      <w:outlineLvl w:val="8"/>
    </w:pPr>
    <w:rPr>
      <w:rFonts w:ascii="Book Antiqua" w:hAnsi="Book Antiqua" w:cs="Book Antiqua"/>
      <w:sz w:val="22"/>
      <w:lang w:val="en-US"/>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2"/>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3"/>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BodyText2">
    <w:name w:val="Body Text 2"/>
    <w:basedOn w:val="Normal"/>
    <w:qFormat/>
    <w:pPr>
      <w:jc w:val="star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2000-09-14T13:43:00Z</dcterms:created>
  <dc:creator>Seabron Adamson</dc:creator>
  <dc:description/>
  <dc:language>en-CA</dc:language>
  <cp:lastModifiedBy>Seabron Adamson</cp:lastModifiedBy>
  <cp:lastPrinted>1998-06-23T13:29:00Z</cp:lastPrinted>
  <dcterms:modified xsi:type="dcterms:W3CDTF">2000-09-14T14:34:00Z</dcterms:modified>
  <cp:revision>5</cp:revision>
  <dc:subject/>
  <dc:title>Material/Suggestions for EOB pleading</dc:title>
</cp:coreProperties>
</file>