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4"/>
        <w:spacing w:before="240" w:after="240"/>
        <w:ind w:hanging="0" w:start="0"/>
        <w:rPr/>
      </w:pPr>
      <w:r>
        <w:rPr/>
        <w:t>2. Do generators and/or scheduling coordinators have market power?</w:t>
      </w:r>
    </w:p>
    <w:p>
      <w:pPr>
        <w:pStyle w:val="Normal"/>
        <w:jc w:val="both"/>
        <w:rPr/>
      </w:pPr>
      <w:r>
        <w:rPr/>
        <w:t xml:space="preserve">Market power is the ability to affect the market price profitably. This is a very general (economic) definition and consequently applies to many, if not most firms operating in modern markets. In practice, however, determining whether or not high price outcomes in the power market are the result of market power or from other – legitimate – causes is a complex undertaking. </w:t>
      </w:r>
    </w:p>
    <w:p>
      <w:pPr>
        <w:pStyle w:val="Normal"/>
        <w:jc w:val="both"/>
        <w:rPr/>
      </w:pPr>
      <w:r>
        <w:rPr/>
        <w:t xml:space="preserve">A key reason why high prices may emerge in a competitive power market relates to what is referred to as the ‘peak pricing problem’. In the short- to medium-term, electricity generation is characterized by high fixed costs. While fuel costs are variable with output, other costs of producing power – investment in turbines and transformers, siting costs etc – are essentially fixed with respect to load factor or output of energy. In a market with a single clearing price, this poses a problem for peaking generators. Baseload generators are likely to earn enough profit when others are setting the clearing price to recover a sufficient proportion of their overall costs. However, depending on the design of the power market, revenue recovery may be a critical problem for peaking generators that are rarely inframarginal. In a situation where supply (generation) scarcity exists – as is the case in the California energy market during times of high demand – clearing prices will invariably move above the physical marginal costs of generation (fuel costs) and generators will accrue ‘scarcity rents’. These scarcity rents are a legitimate reflection of a shortage of generation capacity in the energy market. Indeed, they are required in the longer term to ensure that all generators, including peaking generators can remain viable. </w:t>
      </w:r>
    </w:p>
    <w:p>
      <w:pPr>
        <w:pStyle w:val="Normal"/>
        <w:jc w:val="both"/>
        <w:rPr/>
      </w:pPr>
      <w:r>
        <w:rPr/>
        <w:t>Supply scarcity is also only one of many factors that need to be taken into consideration when looking at market operations. In current U.S. electric markets, generators have several different outlets for selling their product – long and short-term contract markets, cleared power exchanges, ancillary services markets, etc. So even in bidding into a power exchange with a clearing price, a generator with other sales options will set its bid – with no strategic intent – at its opportunity costs. These opportunity costs must be set with reference to expectations by sellers and purchasers in other markets, given the considerable uncertainty that exists over final out-turn prices and quantities in each of the markets. Enron believes that the market power analysis conducted to date has given scant consideration to the opportunity costs of selling power in California versus selling in other markets in the WSCC.</w:t>
      </w:r>
    </w:p>
    <w:p>
      <w:pPr>
        <w:pStyle w:val="Normal"/>
        <w:jc w:val="both"/>
        <w:rPr/>
      </w:pPr>
      <w:r>
        <w:rPr/>
        <w:t>In addition, Enron submits that the following issues would also need to be examined to provide a total picture of the market before determining whether or not market power by any single entity was exercised:</w:t>
      </w:r>
    </w:p>
    <w:p>
      <w:pPr>
        <w:pStyle w:val="Normal"/>
        <w:numPr>
          <w:ilvl w:val="0"/>
          <w:numId w:val="2"/>
        </w:numPr>
        <w:jc w:val="both"/>
        <w:rPr/>
      </w:pPr>
      <w:r>
        <w:rPr/>
        <w:t xml:space="preserve">the operation of baseload plant in 2000 relative to 1999, in particular in relation to unplanned outages; </w:t>
      </w:r>
    </w:p>
    <w:p>
      <w:pPr>
        <w:pStyle w:val="Normal"/>
        <w:numPr>
          <w:ilvl w:val="0"/>
          <w:numId w:val="2"/>
        </w:numPr>
        <w:jc w:val="both"/>
        <w:rPr/>
      </w:pPr>
      <w:r>
        <w:rPr/>
        <w:t xml:space="preserve">bidding behavior by hydro plant in 2000 relative to 1999, in particular in relation to limitations in rainfall and accumulated water supplies; </w:t>
      </w:r>
    </w:p>
    <w:p>
      <w:pPr>
        <w:pStyle w:val="Normal"/>
        <w:numPr>
          <w:ilvl w:val="0"/>
          <w:numId w:val="2"/>
        </w:numPr>
        <w:jc w:val="both"/>
        <w:rPr/>
      </w:pPr>
      <w:r>
        <w:rPr/>
        <w:t xml:space="preserve">bidding behavior by gas plant in 2000 relative to 1999, in particular in relation to emissions restrictions; and </w:t>
      </w:r>
    </w:p>
    <w:p>
      <w:pPr>
        <w:pStyle w:val="Normal"/>
        <w:numPr>
          <w:ilvl w:val="0"/>
          <w:numId w:val="2"/>
        </w:numPr>
        <w:jc w:val="both"/>
        <w:rPr/>
      </w:pPr>
      <w:r>
        <w:rPr/>
        <w:t xml:space="preserve">the relationship of prices in the PX market to other western power market prices. </w:t>
      </w:r>
    </w:p>
    <w:p>
      <w:pPr>
        <w:pStyle w:val="Heading4"/>
        <w:spacing w:before="240" w:after="240"/>
        <w:ind w:hanging="0" w:start="0"/>
        <w:jc w:val="both"/>
        <w:rPr/>
      </w:pPr>
      <w:r>
        <w:rPr/>
        <w:t xml:space="preserve">3. Is there a need to mitigate such market power? </w:t>
      </w:r>
    </w:p>
    <w:p>
      <w:pPr>
        <w:pStyle w:val="Normal"/>
        <w:jc w:val="both"/>
        <w:rPr/>
      </w:pPr>
      <w:r>
        <w:rPr/>
        <w:t xml:space="preserve">As highlighted before, significant problems arise in practice in distinguishing legitimate scarcity rents from anticompetitive and inefficient pricing practices. This distinction reflects a clear dividing line between pricing outcomes that are acceptable (and indeed desirable) from an economic perspective and those that are not. Nevertheless, separating scarcity rents and those arising from market power presents a formidable data and modeling problem. </w:t>
      </w:r>
    </w:p>
    <w:p>
      <w:pPr>
        <w:pStyle w:val="Normal"/>
        <w:jc w:val="both"/>
        <w:rPr/>
      </w:pPr>
      <w:r>
        <w:rPr/>
        <w:t xml:space="preserve">The current debate in California over market power and high spot prices is reflective of a more general uncertainty about what outcomes are acceptable in these power markets. There is a clear distinction between the legal question of what activities are prohibited under U.S. antitrust legislation, and economic notions of the existence and exercise of market power. Pricing above short-term production costs is not in any way disallowed under antitrust law. The latter primarily prohibits agreements, broadly defined, and does not proscribe market outcomes. Under this standard the behavior of competitors is important, not the prices that are produced. In the absence of prohibited agreements between producers, tacit or explicit, market pricing outcomes are generally acceptable, whether or not they diverge from those expected under perfect competition. This, of course, assumes that no other forms of monopolization or uncompetitive practices exist. </w:t>
      </w:r>
    </w:p>
    <w:p>
      <w:pPr>
        <w:pStyle w:val="Normal"/>
        <w:jc w:val="both"/>
        <w:rPr/>
      </w:pPr>
      <w:r>
        <w:rPr/>
        <w:t xml:space="preserve">Several voices in the debate have highlighted that a “just and reasonableness” standard must apply to all wholesale power market outcomes, and that this requirement can be used to restrict pricing behavior. Such a determination could only be made by the FERC, which authorizes sales at market-based rates. However, it is critical to note that any attempt to impose legal standards on competitive power markets that differ from those in other unregulated segments of the economy will impose higher risks on investors in new generation, which can only lead to higher electricity prices over time. </w:t>
      </w:r>
    </w:p>
    <w:p>
      <w:pPr>
        <w:pStyle w:val="Normal"/>
        <w:jc w:val="both"/>
        <w:rPr/>
      </w:pPr>
      <w:r>
        <w:rPr/>
        <w:t xml:space="preserve">Finally, Enron would highlight that price caps in the energy market are only one option for mitigating market power, providing that its existence can be established unambiguously. Economically, price caps are among the least attractive mechanisms available to control market power. The imposition of price caps penalizes all generators alike and severely limits incentives for required new capacity to enter the market, by muffling the scarcity price signals that are critical for encouraging new entry. There are a variety of other options for mitigating market power, with associated less distortionary effects on the energy and ancillary services markets. These include mandated greater forwards contract cover, bid cap mechanisms, and other options. Given California’s shortage of capacity, especially in flexible peaking capacity, it would be economically desirable to consider mechanisms other than price caps if system reliability is to be protected.  </w:t>
      </w:r>
    </w:p>
    <w:p>
      <w:pPr>
        <w:pStyle w:val="Normal"/>
        <w:spacing w:before="0" w:after="240"/>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240"/>
    </w:pPr>
    <w:rPr>
      <w:rFonts w:ascii="Book Antiqua" w:hAnsi="Book Antiqua" w:eastAsia="Times New Roman" w:cs="Book Antiqua"/>
      <w:color w:val="auto"/>
      <w:sz w:val="22"/>
      <w:szCs w:val="24"/>
      <w:lang w:val="en-US" w:bidi="ar-SA" w:eastAsia="zh-CN"/>
    </w:rPr>
  </w:style>
  <w:style w:type="paragraph" w:styleId="Heading4">
    <w:name w:val="heading 4"/>
    <w:basedOn w:val="Normal"/>
    <w:next w:val="Normal"/>
    <w:qFormat/>
    <w:pPr>
      <w:keepNext w:val="true"/>
      <w:numPr>
        <w:ilvl w:val="3"/>
        <w:numId w:val="1"/>
      </w:numPr>
      <w:spacing w:before="240" w:after="60"/>
      <w:outlineLvl w:val="3"/>
    </w:pPr>
    <w:rPr>
      <w:rFonts w:ascii="Times New Roman" w:hAnsi="Times New Roman" w:cs="Times New Roman"/>
      <w:b/>
      <w:bCs/>
      <w:sz w:val="28"/>
      <w:szCs w:val="28"/>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DefaultParagraphFont">
    <w:name w:val="Default Paragraph Font"/>
    <w:qFormat/>
    <w:rPr/>
  </w:style>
  <w:style w:type="character" w:styleId="FootnoteCharacters">
    <w:name w:val="Footnote Characters"/>
    <w:basedOn w:val="DefaultParagraphFont"/>
    <w:qFormat/>
    <w:rPr>
      <w:rFonts w:ascii="Book Antiqua" w:hAnsi="Book Antiqua" w:cs="Book Antiqua"/>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Address">
    <w:name w:val="Address"/>
    <w:basedOn w:val="Normal"/>
    <w:qFormat/>
    <w:pPr>
      <w:spacing w:before="0" w:after="0"/>
    </w:pPr>
    <w:rPr/>
  </w:style>
  <w:style w:type="paragraph" w:styleId="H4">
    <w:name w:val="H4"/>
    <w:basedOn w:val="Normal"/>
    <w:qFormat/>
    <w:pPr>
      <w:spacing w:before="120" w:after="240"/>
    </w:pPr>
    <w:rPr>
      <w:b/>
      <w:sz w:val="24"/>
    </w:rPr>
  </w:style>
  <w:style w:type="paragraph" w:styleId="FootnoteText">
    <w:name w:val="footnote text"/>
    <w:basedOn w:val="Normal"/>
    <w:pPr>
      <w:suppressAutoHyphens w:val="true"/>
      <w:ind w:hanging="720" w:start="720" w:end="0"/>
      <w:jc w:val="both"/>
    </w:pPr>
    <w:rPr>
      <w:sz w:val="18"/>
      <w:szCs w:val="20"/>
    </w:rPr>
  </w:style>
  <w:style w:type="paragraph" w:styleId="FaxNormal">
    <w:name w:val="FaxNormal"/>
    <w:basedOn w:val="Normal"/>
    <w:qFormat/>
    <w:pPr>
      <w:suppressAutoHyphens w:val="true"/>
      <w:spacing w:before="0" w:after="0"/>
      <w:jc w:val="both"/>
    </w:pPr>
    <w:rPr>
      <w:szCs w:val="20"/>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2000-09-07T14:22:00Z</dcterms:created>
  <dc:creator>Sabine Schnittger</dc:creator>
  <dc:description/>
  <dc:language>en-CA</dc:language>
  <cp:lastModifiedBy>Seabron Adamson</cp:lastModifiedBy>
  <cp:lastPrinted>2000-09-07T11:27:00Z</cp:lastPrinted>
  <dcterms:modified xsi:type="dcterms:W3CDTF">2000-09-07T14:22:00Z</dcterms:modified>
  <cp:revision>2</cp:revision>
  <dc:subject/>
  <dc:title>2</dc:title>
</cp:coreProperties>
</file>