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start"/>
        <w:rPr>
          <w:b/>
          <w:bCs/>
        </w:rPr>
      </w:pPr>
      <w:r>
        <w:rPr>
          <w:b/>
          <w:bCs/>
        </w:rPr>
        <w:t>Improvements to the market structure:</w:t>
      </w:r>
    </w:p>
    <w:p>
      <w:pPr>
        <w:pStyle w:val="Normal"/>
        <w:rPr/>
      </w:pPr>
      <w:r>
        <w:rPr/>
        <w:t>Enron advocates a thorough review of the overall market structure, which is well beyond the scope of these responses. In a later response we will provide some brief comments on specific market rules. In this response we will focus on three elements of the current market structure, all of which are highly significant in the current debate.</w:t>
      </w:r>
    </w:p>
    <w:p>
      <w:pPr>
        <w:pStyle w:val="Normal"/>
        <w:jc w:val="start"/>
        <w:rPr>
          <w:b/>
          <w:bCs/>
          <w:i/>
          <w:i/>
          <w:iCs/>
        </w:rPr>
      </w:pPr>
      <w:r>
        <w:rPr>
          <w:b/>
          <w:bCs/>
          <w:i/>
          <w:iCs/>
        </w:rPr>
        <w:t>Price caps</w:t>
      </w:r>
    </w:p>
    <w:p>
      <w:pPr>
        <w:pStyle w:val="BodyText2"/>
        <w:spacing w:before="0" w:after="120"/>
        <w:jc w:val="both"/>
        <w:rPr/>
      </w:pPr>
      <w:r>
        <w:rPr/>
        <w:t>One of the primary set of inefficiencies in the California market structure has been created by regulatory attempts to control market prices: imposed price caps on market prices. Price caps – especially at the current low levels – distort market outcomes and have over time exacerbated the current market conditions:</w:t>
      </w:r>
    </w:p>
    <w:p>
      <w:pPr>
        <w:pStyle w:val="Normal"/>
        <w:numPr>
          <w:ilvl w:val="0"/>
          <w:numId w:val="4"/>
        </w:numPr>
        <w:spacing w:before="0" w:after="120"/>
        <w:rPr/>
      </w:pPr>
      <w:r>
        <w:rPr/>
        <w:t>Price caps create a disincentive for new generation investment, especially in the local flexible peaking capacity the California power system needs to maintain reliability. The California Energy Commission identified bringing new flexible peaking capacity online quickly as a reliability priority more than a year ago. However, price caps have been lowered – not raised – over that time. It is highly unlikely that generators will invest in such capacity given the current level of the prices caps, and the climate of regulatory uncertainty that has been created.</w:t>
      </w:r>
    </w:p>
    <w:p>
      <w:pPr>
        <w:pStyle w:val="Normal"/>
        <w:numPr>
          <w:ilvl w:val="0"/>
          <w:numId w:val="4"/>
        </w:numPr>
        <w:spacing w:before="0" w:after="120"/>
        <w:rPr/>
      </w:pPr>
      <w:r>
        <w:rPr/>
        <w:t>Price caps – again especially those set at the current very low levels – remove incentives for demand side responsiveness, for the small percentage of load that is not supplied by UDCs to customers on an average weighted price basis. Hence, the California power market sees low implied elasticity of demand with respect to price, which would otherwise help to control price spikes.</w:t>
      </w:r>
    </w:p>
    <w:p>
      <w:pPr>
        <w:pStyle w:val="Normal"/>
        <w:numPr>
          <w:ilvl w:val="0"/>
          <w:numId w:val="4"/>
        </w:numPr>
        <w:spacing w:before="0" w:after="120"/>
        <w:rPr/>
      </w:pPr>
      <w:r>
        <w:rPr/>
        <w:t xml:space="preserve">The current price cap structure is ultimately detrimental to reliability and customers’ interests. Price caps imposed by regulatory fiat will be ultimately ineffectual when alternative markets exist across the Western states for power.  These markets are facing their own shortfalls in capacity, and high prices have prevailed across much of the WSCC this past summer. California has no legal authority to restrict the interstate export of power to other markets. </w:t>
      </w:r>
    </w:p>
    <w:p>
      <w:pPr>
        <w:pStyle w:val="Normal"/>
        <w:jc w:val="start"/>
        <w:rPr/>
      </w:pPr>
      <w:r>
        <w:rPr/>
        <w:t>In summary, the heavy-handed attempt to control market prices has played a significant role in creating the current problem. If there is a need for interim market power mitigation – which has yet to be convincingly demonstrated – then other mechanisms exist which are less economically distortionary and which have a lower likelihood of imperiling future system reliability.</w:t>
      </w:r>
    </w:p>
    <w:p>
      <w:pPr>
        <w:pStyle w:val="Normal"/>
        <w:jc w:val="start"/>
        <w:rPr>
          <w:b/>
          <w:bCs/>
          <w:i/>
          <w:i/>
          <w:iCs/>
        </w:rPr>
      </w:pPr>
      <w:r>
        <w:rPr>
          <w:b/>
          <w:bCs/>
          <w:i/>
          <w:iCs/>
        </w:rPr>
        <w:t>Information release</w:t>
      </w:r>
    </w:p>
    <w:p>
      <w:pPr>
        <w:pStyle w:val="BodyText2"/>
        <w:jc w:val="both"/>
        <w:rPr/>
      </w:pPr>
      <w:r>
        <w:rPr/>
        <w:t xml:space="preserve">The current rules of the PX and ISO provide for very limited release of information – giving these institutions a near monopoly on operating data, etc. It is quite likely that many of the price spikes of this summer have been at least partially due to the actions of the ISO in acquiring reserves and power at short notice – a situation made much more grave by the under scheduling of loads into the day ahead markets by UDCs anxious to maximize their CTC revenues. </w:t>
      </w:r>
    </w:p>
    <w:p>
      <w:pPr>
        <w:pStyle w:val="BodyText2"/>
        <w:jc w:val="both"/>
        <w:rPr/>
      </w:pPr>
      <w:r>
        <w:rPr/>
        <w:t>Enron understands that there must be limits to information release. Economically, it is unwise to release bid stack and other data immediately as this could aid collusion. However, the transparency of the market could be strengthened if further information was released well after the operating day. Such a program could have several beneficial effects:</w:t>
      </w:r>
    </w:p>
    <w:p>
      <w:pPr>
        <w:pStyle w:val="BodyText2"/>
        <w:numPr>
          <w:ilvl w:val="0"/>
          <w:numId w:val="2"/>
        </w:numPr>
        <w:jc w:val="both"/>
        <w:rPr/>
      </w:pPr>
      <w:r>
        <w:rPr/>
        <w:t>It would allow all market participants, not just the two market institutions, to play a greater role in policing the market and identifying rules problems, operational issues, etc. It is clear from the current debate that loads (or UDCs, etc.) will play a more significant role in the future. If additional data on quantities and prices were available (well after the fact), then these market participants could play a role in identifying problems and behavior that would tend to increase market prices. At present, however, have very little information on which to base their analyses.</w:t>
      </w:r>
    </w:p>
    <w:p>
      <w:pPr>
        <w:pStyle w:val="BodyText2"/>
        <w:numPr>
          <w:ilvl w:val="0"/>
          <w:numId w:val="2"/>
        </w:numPr>
        <w:jc w:val="both"/>
        <w:rPr/>
      </w:pPr>
      <w:r>
        <w:rPr/>
        <w:t xml:space="preserve">The operational role of the ISO should not be immune to criticism. It is a participant in the market and its specific actions have a significant impact on the broader efficiency of the market. To date, however, the ISO has insulated itself from much criticism by effectively maintaining a near monopoly on key generation, load and transmission information. </w:t>
      </w:r>
    </w:p>
    <w:p>
      <w:pPr>
        <w:pStyle w:val="BodyText2"/>
        <w:jc w:val="both"/>
        <w:rPr/>
      </w:pPr>
      <w:r>
        <w:rPr/>
        <w:t>Stakeholders should review the practices of other market and system operators in the United States and around the world to see if the California ISO and PX’s data and information release practices are effective. This review should also consider whether market performance might be improved if additional specific information was released, including RMR calls, water levels and hydro outputs, planned and unplanned outage data, etc.</w:t>
      </w:r>
    </w:p>
    <w:p>
      <w:pPr>
        <w:pStyle w:val="BodyText2"/>
        <w:jc w:val="both"/>
        <w:rPr>
          <w:b/>
          <w:bCs/>
          <w:i/>
          <w:i/>
          <w:iCs/>
        </w:rPr>
      </w:pPr>
      <w:r>
        <w:rPr>
          <w:b/>
          <w:bCs/>
          <w:i/>
          <w:iCs/>
        </w:rPr>
        <w:t>Purchasing for UDC-served customers</w:t>
      </w:r>
    </w:p>
    <w:p>
      <w:pPr>
        <w:pStyle w:val="BodyText2"/>
        <w:jc w:val="both"/>
        <w:rPr/>
      </w:pPr>
      <w:r>
        <w:rPr/>
        <w:t>Unlike most jurisdictions, California created a mechanism under which customers that had not switched to a competing supplier would be served by their UDC at an energy price that reflected the weighted average PX price. Initially, given the CTC mechanism and the mandated rate reduction, customers have been effectively indifferent to higher spot energy prices. Economic losses were only faced by UDCs that could not complete CTC recovery within the mandated period.</w:t>
      </w:r>
    </w:p>
    <w:p>
      <w:pPr>
        <w:pStyle w:val="BodyText2"/>
        <w:jc w:val="both"/>
        <w:rPr/>
      </w:pPr>
      <w:r>
        <w:rPr/>
        <w:t xml:space="preserve">This changed with the end of CTC recovery for SDG&amp;E’s customers. San Diego customers have faced higher retail prices, reflecting the pass-through of higher spot prices. As the end of CTC approaches for the other utilities, the same mechanism will apply across California. </w:t>
      </w:r>
    </w:p>
    <w:p>
      <w:pPr>
        <w:pStyle w:val="BodyText2"/>
        <w:jc w:val="both"/>
        <w:rPr/>
      </w:pPr>
      <w:r>
        <w:rPr/>
        <w:t>The mechanisms instituted have created a number of significant but perverse incentives:</w:t>
      </w:r>
    </w:p>
    <w:p>
      <w:pPr>
        <w:pStyle w:val="BodyText2"/>
        <w:numPr>
          <w:ilvl w:val="0"/>
          <w:numId w:val="3"/>
        </w:numPr>
        <w:jc w:val="both"/>
        <w:rPr/>
      </w:pPr>
      <w:r>
        <w:rPr/>
        <w:t>UDCs have had very strong incentives to under schedule load day-ahead. This is not in any attempt to minimize customer bills – in fact the total costs of power are very likely increased by this practice. The incentive to under schedule load is created by the fact that the CTC payments are struck against the PX price – not total market prices. UDCs therefore have the incentive to move load to real-time - even if it increases total purchase costs for their customers – as long as PX prices drop. A change to the CTC payment formula could help correct this situation.</w:t>
      </w:r>
    </w:p>
    <w:p>
      <w:pPr>
        <w:pStyle w:val="BodyText2"/>
        <w:numPr>
          <w:ilvl w:val="0"/>
          <w:numId w:val="3"/>
        </w:numPr>
        <w:jc w:val="both"/>
        <w:rPr/>
      </w:pPr>
      <w:r>
        <w:rPr/>
        <w:t>By under scheduling loads, the ISO is forced to secure reserves and capacity in the real-time markets, and through out-of-market calls. This comes at a high price. By delaying, many supply options are foreclosed to the ISO – units are unable to start in the time available, they have been contracted for exports, etc. Reducing the supply options cannot but increase the ISO’s reserve and capacity acquisition costs and market prices.</w:t>
      </w:r>
    </w:p>
    <w:p>
      <w:pPr>
        <w:pStyle w:val="BodyText2"/>
        <w:numPr>
          <w:ilvl w:val="0"/>
          <w:numId w:val="3"/>
        </w:numPr>
        <w:jc w:val="both"/>
        <w:rPr/>
      </w:pPr>
      <w:r>
        <w:rPr/>
        <w:t xml:space="preserve">All price risk has been transferred onto retail (and generally smaller) customers, which is </w:t>
      </w:r>
      <w:r>
        <w:rPr>
          <w:i/>
          <w:iCs/>
        </w:rPr>
        <w:t>prima facie</w:t>
      </w:r>
      <w:r>
        <w:rPr/>
        <w:t xml:space="preserve"> inefficient. The UDCs have had limited authority to contract forward for supply, despite the fact that such contracting would reduce the potential for the exercising of market power by generators. While the UDCs have recently been granted authority to sign bilateral contracts, it is not clear whether they have the correct incentives to play a role as a cost-minimizing contracting agent for their customers.</w:t>
      </w:r>
    </w:p>
    <w:p>
      <w:pPr>
        <w:pStyle w:val="BodyText2"/>
        <w:spacing w:before="0" w:after="240"/>
        <w:jc w:val="both"/>
        <w:rPr/>
      </w:pPr>
      <w:r>
        <w:rPr/>
        <w:t xml:space="preserve">In terms of price risk and market power mitigation, many of the ills in the current California market structure can be traced to the weakness of the retail market, and the poor design of the mechanism for serving customers that have not switched. Given the transactions and information costs, it is unrealistic to expect that the retail market will bloom in time to correct the current flaws. However, the CPUC should consider alternative mechanisms for regulating the procurement of power by UDCs. The past mechanism has failed, in which the UDCs are inactive in the market and have no incentive to contract efficiently  and pass-through any higher prices to customers. Fortunately, other jurisdictions in the United States and elsewhere provide models that could be profitably adopted in Calfornia. </w:t>
      </w:r>
    </w:p>
    <w:sectPr>
      <w:type w:val="nextPage"/>
      <w:pgSz w:w="12240" w:h="15840"/>
      <w:pgMar w:left="1440" w:right="1440" w:gutter="0" w:header="0" w:top="144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240"/>
      <w:jc w:val="both"/>
    </w:pPr>
    <w:rPr>
      <w:rFonts w:ascii="Book Antiqua" w:hAnsi="Book Antiqua" w:eastAsia="Times New Roman" w:cs="Book Antiqua"/>
      <w:color w:val="auto"/>
      <w:sz w:val="22"/>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s>
      <w:suppressAutoHyphens w:val="true"/>
      <w:spacing w:before="120" w:after="240"/>
      <w:outlineLvl w:val="0"/>
    </w:pPr>
    <w:rPr>
      <w:rFonts w:ascii="Book Antiqua" w:hAnsi="Book Antiqua" w:cs="Book Antiqua"/>
      <w:b/>
      <w:sz w:val="28"/>
      <w:lang w:val="en-US"/>
    </w:rPr>
  </w:style>
  <w:style w:type="paragraph" w:styleId="Heading2">
    <w:name w:val="heading 2"/>
    <w:basedOn w:val="Normal"/>
    <w:next w:val="Normal"/>
    <w:qFormat/>
    <w:pPr>
      <w:keepNext w:val="true"/>
      <w:numPr>
        <w:ilvl w:val="1"/>
        <w:numId w:val="1"/>
      </w:numPr>
      <w:tabs>
        <w:tab w:val="left" w:pos="720" w:leader="none"/>
      </w:tabs>
      <w:suppressAutoHyphens w:val="true"/>
      <w:spacing w:before="120" w:after="240"/>
      <w:outlineLvl w:val="1"/>
    </w:pPr>
    <w:rPr>
      <w:rFonts w:ascii="Book Antiqua" w:hAnsi="Book Antiqua" w:cs="Book Antiqua"/>
      <w:b/>
      <w:lang w:val="en-US"/>
    </w:rPr>
  </w:style>
  <w:style w:type="paragraph" w:styleId="Heading3">
    <w:name w:val="heading 3"/>
    <w:basedOn w:val="Normal"/>
    <w:next w:val="Normal"/>
    <w:qFormat/>
    <w:pPr>
      <w:keepNext w:val="true"/>
      <w:numPr>
        <w:ilvl w:val="2"/>
        <w:numId w:val="1"/>
      </w:numPr>
      <w:tabs>
        <w:tab w:val="left" w:pos="720" w:leader="none"/>
      </w:tabs>
      <w:suppressAutoHyphens w:val="true"/>
      <w:spacing w:before="120" w:after="240"/>
      <w:outlineLvl w:val="2"/>
    </w:pPr>
    <w:rPr>
      <w:rFonts w:ascii="Book Antiqua" w:hAnsi="Book Antiqua" w:cs="Book Antiqua"/>
      <w:b/>
      <w:sz w:val="22"/>
      <w:lang w:val="en-US"/>
    </w:rPr>
  </w:style>
  <w:style w:type="paragraph" w:styleId="Heading4">
    <w:name w:val="heading 4"/>
    <w:basedOn w:val="Normal"/>
    <w:next w:val="Normal"/>
    <w:qFormat/>
    <w:pPr>
      <w:keepNext w:val="true"/>
      <w:numPr>
        <w:ilvl w:val="3"/>
        <w:numId w:val="1"/>
      </w:numPr>
      <w:tabs>
        <w:tab w:val="clear" w:pos="720"/>
        <w:tab w:val="left" w:pos="864" w:leader="none"/>
      </w:tabs>
      <w:suppressAutoHyphens w:val="true"/>
      <w:spacing w:before="240" w:after="120"/>
      <w:ind w:hanging="864" w:start="864" w:end="0"/>
      <w:outlineLvl w:val="3"/>
    </w:pPr>
    <w:rPr>
      <w:rFonts w:ascii="Book Antiqua" w:hAnsi="Book Antiqua" w:cs="Book Antiqua"/>
      <w:b/>
      <w:sz w:val="22"/>
      <w:lang w:val="en-US"/>
    </w:rPr>
  </w:style>
  <w:style w:type="paragraph" w:styleId="Heading5">
    <w:name w:val="heading 5"/>
    <w:basedOn w:val="Normal"/>
    <w:next w:val="Normal"/>
    <w:qFormat/>
    <w:pPr>
      <w:numPr>
        <w:ilvl w:val="4"/>
        <w:numId w:val="1"/>
      </w:numPr>
      <w:tabs>
        <w:tab w:val="clear" w:pos="720"/>
        <w:tab w:val="left" w:pos="1008" w:leader="none"/>
      </w:tabs>
      <w:suppressAutoHyphens w:val="true"/>
      <w:ind w:hanging="1008" w:start="1008" w:end="0"/>
      <w:outlineLvl w:val="4"/>
    </w:pPr>
    <w:rPr>
      <w:rFonts w:ascii="Book Antiqua" w:hAnsi="Book Antiqua" w:cs="Book Antiqua"/>
      <w:sz w:val="22"/>
      <w:lang w:val="en-US"/>
    </w:rPr>
  </w:style>
  <w:style w:type="paragraph" w:styleId="Heading6">
    <w:name w:val="heading 6"/>
    <w:basedOn w:val="Normal"/>
    <w:next w:val="Normal"/>
    <w:qFormat/>
    <w:pPr>
      <w:numPr>
        <w:ilvl w:val="5"/>
        <w:numId w:val="1"/>
      </w:numPr>
      <w:tabs>
        <w:tab w:val="clear" w:pos="720"/>
        <w:tab w:val="left" w:pos="1152" w:leader="none"/>
      </w:tabs>
      <w:suppressAutoHyphens w:val="true"/>
      <w:ind w:hanging="1152" w:start="1152" w:end="0"/>
      <w:outlineLvl w:val="5"/>
    </w:pPr>
    <w:rPr>
      <w:rFonts w:ascii="Book Antiqua" w:hAnsi="Book Antiqua" w:cs="Book Antiqua"/>
      <w:sz w:val="22"/>
      <w:lang w:val="en-US"/>
    </w:rPr>
  </w:style>
  <w:style w:type="paragraph" w:styleId="Heading7">
    <w:name w:val="heading 7"/>
    <w:basedOn w:val="Normal"/>
    <w:next w:val="Normal"/>
    <w:qFormat/>
    <w:pPr>
      <w:numPr>
        <w:ilvl w:val="6"/>
        <w:numId w:val="1"/>
      </w:numPr>
      <w:tabs>
        <w:tab w:val="clear" w:pos="720"/>
        <w:tab w:val="left" w:pos="1296" w:leader="none"/>
      </w:tabs>
      <w:suppressAutoHyphens w:val="true"/>
      <w:ind w:hanging="1296" w:start="1296" w:end="0"/>
      <w:outlineLvl w:val="6"/>
    </w:pPr>
    <w:rPr>
      <w:rFonts w:ascii="Book Antiqua" w:hAnsi="Book Antiqua" w:cs="Book Antiqua"/>
      <w:sz w:val="22"/>
      <w:lang w:val="en-US"/>
    </w:rPr>
  </w:style>
  <w:style w:type="paragraph" w:styleId="Heading8">
    <w:name w:val="heading 8"/>
    <w:basedOn w:val="Normal"/>
    <w:next w:val="Normal"/>
    <w:qFormat/>
    <w:pPr>
      <w:numPr>
        <w:ilvl w:val="7"/>
        <w:numId w:val="1"/>
      </w:numPr>
      <w:tabs>
        <w:tab w:val="clear" w:pos="720"/>
        <w:tab w:val="left" w:pos="1440" w:leader="none"/>
      </w:tabs>
      <w:suppressAutoHyphens w:val="true"/>
      <w:ind w:hanging="1440" w:start="1440" w:end="0"/>
      <w:outlineLvl w:val="7"/>
    </w:pPr>
    <w:rPr>
      <w:rFonts w:ascii="Book Antiqua" w:hAnsi="Book Antiqua" w:cs="Book Antiqua"/>
      <w:sz w:val="22"/>
      <w:lang w:val="en-US"/>
    </w:rPr>
  </w:style>
  <w:style w:type="paragraph" w:styleId="Heading9">
    <w:name w:val="heading 9"/>
    <w:basedOn w:val="Normal"/>
    <w:next w:val="Normal"/>
    <w:qFormat/>
    <w:pPr>
      <w:numPr>
        <w:ilvl w:val="8"/>
        <w:numId w:val="1"/>
      </w:numPr>
      <w:tabs>
        <w:tab w:val="clear" w:pos="720"/>
        <w:tab w:val="left" w:pos="1584" w:leader="none"/>
      </w:tabs>
      <w:suppressAutoHyphens w:val="true"/>
      <w:ind w:hanging="1584" w:start="1584" w:end="0"/>
      <w:outlineLvl w:val="8"/>
    </w:pPr>
    <w:rPr>
      <w:rFonts w:ascii="Book Antiqua" w:hAnsi="Book Antiqua" w:cs="Book Antiqua"/>
      <w:sz w:val="22"/>
      <w:lang w:val="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rFonts w:ascii="Book Antiqua" w:hAnsi="Book Antiqua" w:cs="Book Antiqua"/>
      <w:vertAlign w:val="superscript"/>
    </w:rPr>
  </w:style>
  <w:style w:type="character" w:styleId="Large">
    <w:name w:val="Large"/>
    <w:basedOn w:val="DefaultParagraphFont"/>
    <w:qFormat/>
    <w:rPr>
      <w:sz w:val="32"/>
    </w:rPr>
  </w:style>
  <w:style w:type="character" w:styleId="Small">
    <w:name w:val="Small"/>
    <w:basedOn w:val="DefaultParagraphFont"/>
    <w:qFormat/>
    <w:rPr>
      <w:sz w:val="20"/>
    </w:rPr>
  </w:style>
  <w:style w:type="character" w:styleId="Verylarge">
    <w:name w:val="Very large"/>
    <w:basedOn w:val="DefaultParagraphFont"/>
    <w:qFormat/>
    <w:rPr>
      <w:sz w:val="36"/>
    </w:rPr>
  </w:style>
  <w:style w:type="character" w:styleId="PageNumber">
    <w:name w:val="page number"/>
    <w:basedOn w:val="DefaultParagraphFont"/>
    <w:rPr/>
  </w:style>
  <w:style w:type="paragraph" w:styleId="Heading">
    <w:name w:val="Heading"/>
    <w:basedOn w:val="Normal"/>
    <w:next w:val="BodyText"/>
    <w:qFormat/>
    <w:pPr>
      <w:jc w:val="center"/>
    </w:pPr>
    <w:rPr>
      <w:b/>
      <w:sz w:val="32"/>
    </w:rPr>
  </w:style>
  <w:style w:type="paragraph" w:styleId="BodyText">
    <w:name w:val="Body Text"/>
    <w:basedOn w:val="Normal"/>
    <w:pPr>
      <w:suppressAutoHyphens w:val="true"/>
      <w:spacing w:before="0" w:after="120"/>
    </w:pPr>
    <w:rPr>
      <w:rFonts w:ascii="Book Antiqua" w:hAnsi="Book Antiqua" w:cs="Book Antiqua"/>
      <w:sz w:val="22"/>
      <w:lang w:val="en-US"/>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pPr>
    <w:rPr>
      <w:rFonts w:ascii="Book Antiqua" w:hAnsi="Book Antiqua" w:cs="Book Antiqua"/>
      <w:b/>
      <w:spacing w:val="-2"/>
      <w:sz w:val="22"/>
      <w:lang w:val="en-US"/>
    </w:rPr>
  </w:style>
  <w:style w:type="paragraph" w:styleId="Index">
    <w:name w:val="Index"/>
    <w:basedOn w:val="Normal"/>
    <w:qFormat/>
    <w:pPr>
      <w:suppressLineNumbers/>
    </w:pPr>
    <w:rPr>
      <w:rFonts w:cs="NotoSans NF"/>
    </w:rPr>
  </w:style>
  <w:style w:type="paragraph" w:styleId="1SectionHead">
    <w:name w:val="1SectionHead"/>
    <w:basedOn w:val="Normal"/>
    <w:next w:val="Normal"/>
    <w:qFormat/>
    <w:pPr>
      <w:suppressAutoHyphens w:val="true"/>
      <w:spacing w:before="360" w:after="240"/>
    </w:pPr>
    <w:rPr>
      <w:rFonts w:ascii="Book Antiqua" w:hAnsi="Book Antiqua" w:cs="Book Antiqua"/>
      <w:b/>
      <w:sz w:val="36"/>
      <w:lang w:val="en-US"/>
    </w:rPr>
  </w:style>
  <w:style w:type="paragraph" w:styleId="2SubSectionHead">
    <w:name w:val="2SubSectionHead"/>
    <w:basedOn w:val="Normal"/>
    <w:next w:val="Normal"/>
    <w:qFormat/>
    <w:pPr>
      <w:suppressAutoHyphens w:val="true"/>
      <w:spacing w:before="240" w:after="240"/>
    </w:pPr>
    <w:rPr>
      <w:rFonts w:ascii="Book Antiqua" w:hAnsi="Book Antiqua" w:cs="Book Antiqua"/>
      <w:b/>
      <w:sz w:val="32"/>
      <w:lang w:val="en-US"/>
    </w:rPr>
  </w:style>
  <w:style w:type="paragraph" w:styleId="3ParaHead">
    <w:name w:val="3ParaHead"/>
    <w:basedOn w:val="Normal"/>
    <w:next w:val="Normal"/>
    <w:qFormat/>
    <w:pPr>
      <w:suppressAutoHyphens w:val="true"/>
      <w:spacing w:before="120" w:after="240"/>
    </w:pPr>
    <w:rPr>
      <w:rFonts w:ascii="Book Antiqua" w:hAnsi="Book Antiqua" w:cs="Book Antiqua"/>
      <w:b/>
      <w:sz w:val="28"/>
      <w:lang w:val="en-US"/>
    </w:rPr>
  </w:style>
  <w:style w:type="paragraph" w:styleId="4SubPara">
    <w:name w:val="4SubPara"/>
    <w:basedOn w:val="Normal"/>
    <w:next w:val="Normal"/>
    <w:qFormat/>
    <w:pPr>
      <w:suppressAutoHyphens w:val="true"/>
      <w:spacing w:before="120" w:after="240"/>
    </w:pPr>
    <w:rPr>
      <w:rFonts w:ascii="Book Antiqua" w:hAnsi="Book Antiqua" w:cs="Book Antiqua"/>
      <w:b/>
      <w:sz w:val="22"/>
      <w:lang w:val="en-US"/>
    </w:rPr>
  </w:style>
  <w:style w:type="paragraph" w:styleId="FootnoteText">
    <w:name w:val="footnote text"/>
    <w:basedOn w:val="Normal"/>
    <w:pPr>
      <w:suppressAutoHyphens w:val="true"/>
      <w:ind w:hanging="720" w:start="720" w:end="0"/>
    </w:pPr>
    <w:rPr>
      <w:rFonts w:ascii="Book Antiqua" w:hAnsi="Book Antiqua" w:cs="Book Antiqua"/>
      <w:sz w:val="18"/>
      <w:lang w:val="en-US"/>
    </w:rPr>
  </w:style>
  <w:style w:type="paragraph" w:styleId="Coverpage">
    <w:name w:val="Cover page"/>
    <w:basedOn w:val="Normal"/>
    <w:qFormat/>
    <w:pPr>
      <w:suppressAutoHyphens w:val="true"/>
      <w:spacing w:before="9360" w:after="240"/>
      <w:ind w:hanging="0" w:start="1440" w:end="1440"/>
      <w:jc w:val="center"/>
    </w:pPr>
    <w:rPr>
      <w:rFonts w:ascii="Book Antiqua" w:hAnsi="Book Antiqua" w:cs="Book Antiqua"/>
      <w:b/>
      <w:sz w:val="36"/>
      <w:lang w:val="en-US"/>
    </w:rPr>
  </w:style>
  <w:style w:type="paragraph" w:styleId="ListBullet">
    <w:name w:val="List Bullet"/>
    <w:basedOn w:val="Normal"/>
    <w:qFormat/>
    <w:pPr>
      <w:numPr>
        <w:ilvl w:val="0"/>
        <w:numId w:val="5"/>
      </w:numPr>
      <w:tabs>
        <w:tab w:val="left" w:pos="720" w:leader="none"/>
      </w:tabs>
      <w:suppressAutoHyphens w:val="true"/>
      <w:ind w:hanging="720" w:start="1440" w:end="0"/>
    </w:pPr>
    <w:rPr>
      <w:rFonts w:ascii="Book Antiqua" w:hAnsi="Book Antiqua" w:cs="Book Antiqua"/>
      <w:sz w:val="22"/>
      <w:lang w:val="en-US"/>
    </w:rPr>
  </w:style>
  <w:style w:type="paragraph" w:styleId="ListBullet2">
    <w:name w:val="List Bullet 2"/>
    <w:basedOn w:val="Normal"/>
    <w:qFormat/>
    <w:pPr>
      <w:numPr>
        <w:ilvl w:val="0"/>
        <w:numId w:val="6"/>
      </w:numPr>
      <w:tabs>
        <w:tab w:val="left" w:pos="720" w:leader="none"/>
        <w:tab w:val="left" w:pos="2160" w:leader="none"/>
      </w:tabs>
      <w:suppressAutoHyphens w:val="true"/>
      <w:ind w:hanging="720" w:start="2160" w:end="0"/>
    </w:pPr>
    <w:rPr>
      <w:rFonts w:ascii="Book Antiqua" w:hAnsi="Book Antiqua" w:cs="Book Antiqua"/>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uppressAutoHyphens w:val="true"/>
      <w:spacing w:before="0" w:after="0"/>
    </w:pPr>
    <w:rPr>
      <w:rFonts w:ascii="Book Antiqua" w:hAnsi="Book Antiqua" w:cs="Book Antiqua"/>
      <w:sz w:val="18"/>
      <w:lang w:val="en-US"/>
    </w:rPr>
  </w:style>
  <w:style w:type="paragraph" w:styleId="FaxNormal">
    <w:name w:val="FaxNormal"/>
    <w:basedOn w:val="Normal"/>
    <w:qFormat/>
    <w:pPr>
      <w:suppressAutoHyphens w:val="true"/>
      <w:spacing w:before="0" w:after="0"/>
    </w:pPr>
    <w:rPr>
      <w:rFonts w:ascii="Book Antiqua" w:hAnsi="Book Antiqua" w:cs="Book Antiqua"/>
      <w:sz w:val="22"/>
      <w:lang w:val="en-US"/>
    </w:rPr>
  </w:style>
  <w:style w:type="paragraph" w:styleId="Address">
    <w:name w:val="Address"/>
    <w:basedOn w:val="Normal"/>
    <w:qFormat/>
    <w:pPr>
      <w:suppressAutoHyphens w:val="true"/>
      <w:spacing w:before="0" w:after="0"/>
    </w:pPr>
    <w:rPr>
      <w:rFonts w:ascii="Book Antiqua" w:hAnsi="Book Antiqua" w:cs="Book Antiqua"/>
      <w:spacing w:val="-3"/>
      <w:sz w:val="22"/>
      <w:lang w:val="en-US"/>
    </w:rPr>
  </w:style>
  <w:style w:type="paragraph" w:styleId="TOC1">
    <w:name w:val="toc 1"/>
    <w:basedOn w:val="Normal"/>
    <w:next w:val="Normal"/>
    <w:pPr>
      <w:tabs>
        <w:tab w:val="clear" w:pos="720"/>
        <w:tab w:val="right" w:pos="7589" w:leader="dot"/>
      </w:tabs>
      <w:spacing w:before="360" w:after="120"/>
      <w:ind w:hanging="720" w:start="720" w:end="0"/>
    </w:pPr>
    <w:rPr>
      <w:b/>
      <w:sz w:val="24"/>
    </w:rPr>
  </w:style>
  <w:style w:type="paragraph" w:styleId="TOC2">
    <w:name w:val="toc 2"/>
    <w:basedOn w:val="Normal"/>
    <w:next w:val="Normal"/>
    <w:pPr>
      <w:tabs>
        <w:tab w:val="clear" w:pos="720"/>
        <w:tab w:val="right" w:pos="7589" w:leader="dot"/>
      </w:tabs>
      <w:ind w:hanging="720" w:start="936" w:end="0"/>
    </w:pPr>
    <w:rPr/>
  </w:style>
  <w:style w:type="paragraph" w:styleId="Computertext">
    <w:name w:val="Computer text"/>
    <w:basedOn w:val="Normal"/>
    <w:qFormat/>
    <w:pPr>
      <w:suppressAutoHyphens w:val="true"/>
      <w:spacing w:before="0" w:after="0"/>
    </w:pPr>
    <w:rPr>
      <w:rFonts w:ascii="Courier New" w:hAnsi="Courier New" w:cs="Courier New"/>
      <w:sz w:val="22"/>
      <w:lang w:val="en-US"/>
    </w:rPr>
  </w:style>
  <w:style w:type="paragraph" w:styleId="Computer">
    <w:name w:val="Computer"/>
    <w:basedOn w:val="Normal"/>
    <w:qFormat/>
    <w:pPr>
      <w:suppressAutoHyphens w:val="true"/>
      <w:spacing w:before="0" w:after="0"/>
      <w:ind w:hanging="0" w:start="720" w:end="0"/>
      <w:jc w:val="start"/>
    </w:pPr>
    <w:rPr>
      <w:rFonts w:ascii="Courier New" w:hAnsi="Courier New" w:cs="Courier New"/>
      <w:sz w:val="16"/>
      <w:lang w:val="en-US"/>
    </w:rPr>
  </w:style>
  <w:style w:type="paragraph" w:styleId="TOC3">
    <w:name w:val="toc 3"/>
    <w:basedOn w:val="Normal"/>
    <w:next w:val="Normal"/>
    <w:pPr/>
    <w:rPr/>
  </w:style>
  <w:style w:type="paragraph" w:styleId="TableofFigures">
    <w:name w:val="Table of Figures"/>
    <w:basedOn w:val="Normal"/>
    <w:next w:val="Normal"/>
    <w:qFormat/>
    <w:pPr>
      <w:tabs>
        <w:tab w:val="clear" w:pos="720"/>
        <w:tab w:val="left" w:pos="1440" w:leader="none"/>
        <w:tab w:val="right" w:pos="8666" w:leader="dot"/>
      </w:tabs>
      <w:ind w:hanging="1440" w:start="1440" w:end="720"/>
    </w:pPr>
    <w:rPr/>
  </w:style>
  <w:style w:type="paragraph" w:styleId="TOC4">
    <w:name w:val="toc 4"/>
    <w:basedOn w:val="Normal"/>
    <w:next w:val="Normal"/>
    <w:pPr/>
    <w:rPr/>
  </w:style>
  <w:style w:type="paragraph" w:styleId="3SubPara">
    <w:name w:val="3SubPara"/>
    <w:basedOn w:val="Normal"/>
    <w:next w:val="Normal"/>
    <w:qFormat/>
    <w:pPr>
      <w:suppressAutoHyphens w:val="true"/>
      <w:spacing w:before="120" w:after="240"/>
    </w:pPr>
    <w:rPr>
      <w:rFonts w:ascii="Book Antiqua" w:hAnsi="Book Antiqua" w:cs="Book Antiqua"/>
      <w:b/>
      <w:sz w:val="28"/>
      <w:lang w:val="en-US"/>
    </w:rPr>
  </w:style>
  <w:style w:type="paragraph" w:styleId="Header">
    <w:name w:val="header"/>
    <w:basedOn w:val="Normal"/>
    <w:pPr>
      <w:suppressAutoHyphens w:val="true"/>
    </w:pPr>
    <w:rPr>
      <w:rFonts w:ascii="Book Antiqua" w:hAnsi="Book Antiqua" w:cs="Book Antiqua"/>
      <w:b/>
      <w:i/>
      <w:sz w:val="20"/>
      <w:lang w:val="en-US"/>
    </w:rPr>
  </w:style>
  <w:style w:type="paragraph" w:styleId="ListContinue">
    <w:name w:val="List Continue"/>
    <w:basedOn w:val="Normal"/>
    <w:qFormat/>
    <w:pPr>
      <w:suppressAutoHyphens w:val="true"/>
      <w:spacing w:before="0" w:after="120"/>
      <w:ind w:hanging="0" w:start="360" w:end="0"/>
    </w:pPr>
    <w:rPr>
      <w:rFonts w:ascii="Book Antiqua" w:hAnsi="Book Antiqua" w:cs="Book Antiqua"/>
      <w:sz w:val="22"/>
      <w:lang w:val="en-US"/>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60"/>
    </w:pPr>
    <w:rPr>
      <w:rFonts w:ascii="Helvetica;Arial" w:hAnsi="Helvetica;Arial" w:eastAsia="Times New Roman" w:cs="Helvetica;Arial"/>
      <w:color w:val="auto"/>
      <w:spacing w:val="-2"/>
      <w:sz w:val="20"/>
      <w:szCs w:val="20"/>
      <w:lang w:val="en-GB" w:bidi="ar-SA" w:eastAsia="zh-CN"/>
    </w:rPr>
  </w:style>
  <w:style w:type="paragraph" w:styleId="NormalHanging">
    <w:name w:val="Normal Hanging"/>
    <w:basedOn w:val="Normal"/>
    <w:qFormat/>
    <w:pPr>
      <w:ind w:hanging="720" w:start="720" w:end="0"/>
    </w:pPr>
    <w:rPr/>
  </w:style>
  <w:style w:type="paragraph" w:styleId="NormalIndent">
    <w:name w:val="Normal Indent"/>
    <w:basedOn w:val="Normal"/>
    <w:qFormat/>
    <w:pPr>
      <w:ind w:hanging="0" w:start="720" w:end="0"/>
    </w:pPr>
    <w:rPr/>
  </w:style>
  <w:style w:type="paragraph" w:styleId="Subtitle">
    <w:name w:val="Subtitle"/>
    <w:basedOn w:val="Normal"/>
    <w:next w:val="BodyText"/>
    <w:qFormat/>
    <w:pPr>
      <w:spacing w:before="0" w:after="120"/>
      <w:jc w:val="center"/>
    </w:pPr>
    <w:rPr>
      <w:b/>
      <w:sz w:val="24"/>
    </w:rPr>
  </w:style>
  <w:style w:type="paragraph" w:styleId="Table">
    <w:name w:val="Table"/>
    <w:basedOn w:val="Normal"/>
    <w:qFormat/>
    <w:pPr>
      <w:spacing w:before="60" w:after="60"/>
    </w:pPr>
    <w:rPr>
      <w:sz w:val="18"/>
    </w:rPr>
  </w:style>
  <w:style w:type="paragraph" w:styleId="TableFootnote">
    <w:name w:val="Table Footnote"/>
    <w:basedOn w:val="Normal"/>
    <w:qFormat/>
    <w:pPr>
      <w:spacing w:before="240" w:after="120"/>
    </w:pPr>
    <w:rPr>
      <w:sz w:val="16"/>
    </w:rPr>
  </w:style>
  <w:style w:type="paragraph" w:styleId="TableSub-Title">
    <w:name w:val="Table Sub-Title"/>
    <w:basedOn w:val="Normal"/>
    <w:qFormat/>
    <w:pPr>
      <w:spacing w:before="240" w:after="120"/>
    </w:pPr>
    <w:rPr>
      <w:b/>
      <w:i/>
      <w:sz w:val="20"/>
    </w:rPr>
  </w:style>
  <w:style w:type="paragraph" w:styleId="TableText">
    <w:name w:val="Table Text"/>
    <w:basedOn w:val="Normal"/>
    <w:qFormat/>
    <w:pPr>
      <w:spacing w:before="60" w:after="60"/>
    </w:pPr>
    <w:rPr>
      <w:sz w:val="20"/>
    </w:rPr>
  </w:style>
  <w:style w:type="paragraph" w:styleId="TableTitle">
    <w:name w:val="Table Title"/>
    <w:basedOn w:val="Normal"/>
    <w:qFormat/>
    <w:pPr>
      <w:spacing w:before="240" w:after="240"/>
      <w:jc w:val="center"/>
    </w:pPr>
    <w:rPr>
      <w:b/>
    </w:rPr>
  </w:style>
  <w:style w:type="paragraph" w:styleId="TOAHeading">
    <w:name w:val="TOA Heading"/>
    <w:basedOn w:val="Normal"/>
    <w:next w:val="Normal"/>
    <w:qFormat/>
    <w:pPr>
      <w:spacing w:before="360" w:after="120"/>
      <w:ind w:hanging="720" w:start="720" w:end="0"/>
    </w:pPr>
    <w:rPr>
      <w:b/>
      <w:sz w:val="24"/>
    </w:rPr>
  </w:style>
  <w:style w:type="paragraph" w:styleId="TOC5">
    <w:name w:val="toc 5"/>
    <w:basedOn w:val="Normal"/>
    <w:next w:val="Normal"/>
    <w:pPr/>
    <w:rPr/>
  </w:style>
  <w:style w:type="paragraph" w:styleId="TOC6">
    <w:name w:val="toc 6"/>
    <w:basedOn w:val="Normal"/>
    <w:next w:val="Normal"/>
    <w:pPr/>
    <w:rPr/>
  </w:style>
  <w:style w:type="paragraph" w:styleId="TOC7">
    <w:name w:val="toc 7"/>
    <w:basedOn w:val="Normal"/>
    <w:next w:val="Normal"/>
    <w:pPr/>
    <w:rPr/>
  </w:style>
  <w:style w:type="paragraph" w:styleId="TOC8">
    <w:name w:val="toc 8"/>
    <w:basedOn w:val="Normal"/>
    <w:next w:val="Normal"/>
    <w:pPr/>
    <w:rPr/>
  </w:style>
  <w:style w:type="paragraph" w:styleId="TOC9">
    <w:name w:val="toc 9"/>
    <w:basedOn w:val="Normal"/>
    <w:next w:val="Normal"/>
    <w:pPr/>
    <w:rPr/>
  </w:style>
  <w:style w:type="paragraph" w:styleId="TOCA">
    <w:name w:val="TOC A"/>
    <w:basedOn w:val="Normal"/>
    <w:qFormat/>
    <w:pPr>
      <w:tabs>
        <w:tab w:val="left" w:pos="720" w:leader="none"/>
        <w:tab w:val="right" w:pos="8669" w:leader="dot"/>
      </w:tabs>
      <w:spacing w:before="240" w:after="0"/>
      <w:ind w:hanging="0" w:start="0" w:end="720"/>
      <w:jc w:val="start"/>
    </w:pPr>
    <w:rPr/>
  </w:style>
  <w:style w:type="paragraph" w:styleId="BodyText2">
    <w:name w:val="Body Text 2"/>
    <w:basedOn w:val="Normal"/>
    <w:qFormat/>
    <w:pPr>
      <w:jc w:val="start"/>
    </w:pPr>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2000-09-07T12:59:00Z</dcterms:created>
  <dc:creator>Seabron Adamson</dc:creator>
  <dc:description/>
  <dc:language>en-CA</dc:language>
  <cp:lastModifiedBy>Seabron Adamson</cp:lastModifiedBy>
  <cp:lastPrinted>1998-06-23T13:29:00Z</cp:lastPrinted>
  <dcterms:modified xsi:type="dcterms:W3CDTF">2000-09-07T14:21:00Z</dcterms:modified>
  <cp:revision>7</cp:revision>
  <dc:subject/>
  <dc:title>Improvements to the market structure:</dc:title>
</cp:coreProperties>
</file>