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media/image5.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EUROPEAN MARKET SUMMARY Trading Day 24th August 2000</w:t>
      </w:r>
    </w:p>
    <w:p>
      <w:pPr>
        <w:pStyle w:val="Footer"/>
        <w:tabs>
          <w:tab w:val="clear" w:pos="4153"/>
          <w:tab w:val="clear" w:pos="8306"/>
        </w:tabs>
        <w:jc w:val="both"/>
        <w:rPr>
          <w:sz w:val="22"/>
        </w:rPr>
      </w:pPr>
      <w:r>
        <w:rPr>
          <w:sz w:val="22"/>
        </w:rPr>
      </w:r>
    </w:p>
    <w:p>
      <w:pPr>
        <w:pStyle w:val="Heading4"/>
        <w:ind w:hanging="0" w:start="0"/>
        <w:rPr>
          <w:rFonts w:ascii="Arial; Helvetica" w:hAnsi="Arial; Helvetica" w:cs="Arial; Helvetica"/>
        </w:rPr>
      </w:pPr>
      <w:r>
        <w:rPr>
          <w:rFonts w:cs="Arial; Helvetica" w:ascii="Arial; Helvetica" w:hAnsi="Arial; Helvetica"/>
        </w:rPr>
        <w:t>UK GAS Market News</w:t>
      </w:r>
    </w:p>
    <w:p>
      <w:pPr>
        <w:pStyle w:val="Normal"/>
        <w:rPr>
          <w:rFonts w:ascii="Arial; Helvetica" w:hAnsi="Arial; Helvetica" w:cs="Arial; Helvetica"/>
        </w:rPr>
      </w:pPr>
      <w:r>
        <w:rPr>
          <w:rFonts w:cs="Arial; Helvetica"/>
        </w:rPr>
      </w:r>
    </w:p>
    <w:p>
      <w:pPr>
        <w:pStyle w:val="Normal"/>
        <w:jc w:val="both"/>
        <w:rPr/>
      </w:pPr>
      <w:r>
        <w:rPr>
          <w:sz w:val="22"/>
        </w:rPr>
        <w:t>A torpid day’ trading saw front month and curve levels close relatively unchanged after a minor sell off eroded gains made in the morning session. Buying pressure instigated by one major player saw Q1 ’01 trade up to a high of 23.8p/th in the early session, but the period subsequently retracted to close at 23.45 – 23.60p/th. A system buy during the day buoyed the within day market, with the parcel changing hands at an intra day high of 23p/th, before slipping to around 20.5p/th at the close of play in the physical market. Demand today was 192MCM, with 176MCM predicted for today. Meanwhile a 500,000</w:t>
      </w:r>
      <w:r>
        <w:rPr>
          <w:sz w:val="22"/>
          <w:vertAlign w:val="superscript"/>
        </w:rPr>
        <w:t>th</w:t>
      </w:r>
      <w:r>
        <w:rPr>
          <w:sz w:val="22"/>
        </w:rPr>
        <w:t>/d 23p summer ’01 call option was also reported to have been agreed this evening, with a 0.20p/th spread between the two component quarters.</w:t>
      </w:r>
    </w:p>
    <w:p>
      <w:pPr>
        <w:pStyle w:val="Normal"/>
        <w:rPr>
          <w:sz w:val="22"/>
          <w:lang w:val="en-CA"/>
        </w:rPr>
      </w:pPr>
      <w:r>
        <w:rPr>
          <w:sz w:val="22"/>
          <w:lang w:val="en-CA"/>
        </w:rPr>
        <w:drawing>
          <wp:anchor behindDoc="0" distT="0" distB="0" distL="114935" distR="114935" simplePos="0" locked="0" layoutInCell="0" allowOverlap="1" relativeHeight="12">
            <wp:simplePos x="0" y="0"/>
            <wp:positionH relativeFrom="column">
              <wp:posOffset>11430</wp:posOffset>
            </wp:positionH>
            <wp:positionV relativeFrom="paragraph">
              <wp:posOffset>176530</wp:posOffset>
            </wp:positionV>
            <wp:extent cx="3017520" cy="25596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3017520" cy="2559685"/>
                    </a:xfrm>
                    <a:prstGeom prst="rect">
                      <a:avLst/>
                    </a:prstGeom>
                    <a:noFill/>
                  </pic:spPr>
                </pic:pic>
              </a:graphicData>
            </a:graphic>
          </wp:anchor>
        </w:drawing>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Arial; Helvetica" w:hAnsi="Arial; Helvetica" w:cs="Arial; Helvetica"/>
          <w:b/>
          <w:sz w:val="22"/>
          <w:u w:val="single"/>
        </w:rPr>
      </w:pPr>
      <w:r>
        <w:rPr>
          <w:rFonts w:cs="Arial; Helvetica" w:ascii="Arial; Helvetica" w:hAnsi="Arial; Helvetica"/>
          <w:b/>
          <w:sz w:val="22"/>
          <w:u w:val="single"/>
        </w:rPr>
        <w:t>UK POWER Market News</w:t>
      </w:r>
    </w:p>
    <w:p>
      <w:pPr>
        <w:pStyle w:val="Normal"/>
        <w:jc w:val="both"/>
        <w:rPr>
          <w:rFonts w:ascii="Arial; Helvetica" w:hAnsi="Arial; Helvetica" w:cs="Arial; Helvetica"/>
          <w:b/>
          <w:sz w:val="22"/>
          <w:u w:val="single"/>
        </w:rPr>
      </w:pPr>
      <w:r>
        <w:rPr>
          <w:rFonts w:cs="Arial; Helvetica"/>
          <w:b/>
          <w:sz w:val="22"/>
          <w:u w:val="single"/>
        </w:rPr>
      </w:r>
    </w:p>
    <w:p>
      <w:pPr>
        <w:pStyle w:val="BodyText"/>
        <w:rPr>
          <w:rFonts w:ascii="Arial; Helvetica" w:hAnsi="Arial; Helvetica" w:cs="Arial; Helvetica"/>
        </w:rPr>
      </w:pPr>
      <w:r>
        <w:drawing>
          <wp:anchor behindDoc="0" distT="0" distB="0" distL="114935" distR="114935" simplePos="0" locked="0" layoutInCell="0" allowOverlap="1" relativeHeight="13">
            <wp:simplePos x="0" y="0"/>
            <wp:positionH relativeFrom="column">
              <wp:posOffset>11430</wp:posOffset>
            </wp:positionH>
            <wp:positionV relativeFrom="paragraph">
              <wp:posOffset>1577340</wp:posOffset>
            </wp:positionV>
            <wp:extent cx="3017520" cy="276669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1" t="-12" r="-11" b="-12"/>
                    <a:stretch>
                      <a:fillRect/>
                    </a:stretch>
                  </pic:blipFill>
                  <pic:spPr bwMode="auto">
                    <a:xfrm>
                      <a:off x="0" y="0"/>
                      <a:ext cx="3017520" cy="2766695"/>
                    </a:xfrm>
                    <a:prstGeom prst="rect">
                      <a:avLst/>
                    </a:prstGeom>
                    <a:noFill/>
                  </pic:spPr>
                </pic:pic>
              </a:graphicData>
            </a:graphic>
          </wp:anchor>
        </w:drawing>
      </w:r>
      <w:r>
        <w:rPr>
          <w:rFonts w:cs="Arial; Helvetica" w:ascii="Arial; Helvetica" w:hAnsi="Arial; Helvetica"/>
        </w:rPr>
        <w:t>The market bounced back to life today, with active trade reported across the curve. As a lower out turn yanked the prompt end of the market lower towards the close, the forwards witnessed a late mini rally after turning within Wednesday’s ranges for most of the day. November leapt to trade at £24.45, having veered between £24.27 – 24.35/MWh for most of the afternoon session, while winter ’00 offers pulled back to £23.00/MWh and summer ’01 rebounded from a £16.20 traded low to £16.28. Week 35v was notably active, trading 9 times between £25.30 - 25.80, and then down to £25.25 - 25.30 after the out turn. An October annual load shape 44 was reported going through at £21.92, with the only other shaped trade being a winter ’00 peaks sale at £34.30. Meanwhile the UKPX witnessed October trading at £24.38.</w:t>
      </w:r>
      <w:r>
        <w:br w:type="page"/>
      </w:r>
    </w:p>
    <w:p>
      <w:pPr>
        <w:pStyle w:val="BodyText"/>
        <w:rPr>
          <w:rFonts w:ascii="Arial; Helvetica" w:hAnsi="Arial; Helvetica" w:cs="Arial; Helvetica"/>
        </w:rPr>
      </w:pPr>
      <w:r>
        <w:rPr>
          <w:rFonts w:cs="Arial; Helvetica" w:ascii="Arial; Helvetica" w:hAnsi="Arial; Helvetica"/>
        </w:rPr>
      </w:r>
    </w:p>
    <w:p>
      <w:pPr>
        <w:pStyle w:val="Normal"/>
        <w:jc w:val="both"/>
        <w:rPr>
          <w:rFonts w:ascii="Arial; Helvetica" w:hAnsi="Arial; Helvetica" w:cs="Arial; Helvetica"/>
          <w:sz w:val="22"/>
        </w:rPr>
      </w:pPr>
      <w:r>
        <w:rPr>
          <w:rFonts w:cs="Arial; Helvetica"/>
          <w:sz w:val="22"/>
        </w:rPr>
      </w:r>
    </w:p>
    <w:p>
      <w:pPr>
        <w:pStyle w:val="Normal"/>
        <w:jc w:val="both"/>
        <w:rPr>
          <w:b/>
          <w:sz w:val="22"/>
          <w:u w:val="single"/>
        </w:rPr>
      </w:pPr>
      <w:r>
        <w:rPr>
          <w:b/>
          <w:sz w:val="22"/>
          <w:u w:val="single"/>
        </w:rPr>
        <w:t>NORDIC Market News</w:t>
      </w:r>
    </w:p>
    <w:p>
      <w:pPr>
        <w:pStyle w:val="Normal"/>
        <w:rPr>
          <w:b/>
          <w:sz w:val="19"/>
          <w:u w:val="single"/>
          <w:lang w:val="en-AU" w:eastAsia="en-US"/>
        </w:rPr>
      </w:pPr>
      <w:r>
        <w:rPr>
          <w:b/>
          <w:sz w:val="19"/>
          <w:u w:val="single"/>
          <w:lang w:val="en-AU" w:eastAsia="en-US"/>
        </w:rPr>
      </w:r>
    </w:p>
    <w:p>
      <w:pPr>
        <w:pStyle w:val="Normal"/>
        <w:jc w:val="both"/>
        <w:rPr>
          <w:sz w:val="22"/>
          <w:lang w:val="en-AU" w:eastAsia="en-US"/>
        </w:rPr>
      </w:pPr>
      <w:r>
        <w:rPr>
          <w:sz w:val="22"/>
          <w:lang w:val="en-AU" w:eastAsia="en-US"/>
        </w:rPr>
        <w:t>An unexpected turn for the worse in weather forecasts tripped up the Nordic power market Thursday, with bilateral trade in most forward con tracts stalling at lunch time after a good morning of activity. Dealers said Winter-2, Win ter-1 and Year 2001 had all extended their gains by about NOK0.75/MWh over the morning.  But new ten-day weather forecasts showing rain at the back end of the forecasts frightened buyers out of the market.  “Suddenly over a few minutes all the buyers were out of the market — the offers have chased them down a little,” said one trader. Wednesday’s higher-than-expected rise in Norwegian reservoirs have left the market cautious, said others.</w:t>
      </w:r>
    </w:p>
    <w:p>
      <w:pPr>
        <w:pStyle w:val="Normal"/>
        <w:rPr>
          <w:sz w:val="19"/>
          <w:lang w:val="en-AU" w:eastAsia="en-US"/>
        </w:rPr>
      </w:pPr>
      <w:r>
        <w:rPr>
          <w:sz w:val="19"/>
          <w:lang w:val="en-AU" w:eastAsia="en-US"/>
        </w:rPr>
        <w:drawing>
          <wp:anchor behindDoc="0" distT="0" distB="0" distL="114935" distR="114935" simplePos="0" locked="0" layoutInCell="0" allowOverlap="1" relativeHeight="11">
            <wp:simplePos x="0" y="0"/>
            <wp:positionH relativeFrom="column">
              <wp:posOffset>11430</wp:posOffset>
            </wp:positionH>
            <wp:positionV relativeFrom="paragraph">
              <wp:posOffset>161290</wp:posOffset>
            </wp:positionV>
            <wp:extent cx="3447415" cy="161861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0" t="-22" r="-10" b="-22"/>
                    <a:stretch>
                      <a:fillRect/>
                    </a:stretch>
                  </pic:blipFill>
                  <pic:spPr bwMode="auto">
                    <a:xfrm>
                      <a:off x="0" y="0"/>
                      <a:ext cx="3447415" cy="1618615"/>
                    </a:xfrm>
                    <a:prstGeom prst="rect">
                      <a:avLst/>
                    </a:prstGeom>
                    <a:noFill/>
                  </pic:spPr>
                </pic:pic>
              </a:graphicData>
            </a:graphic>
          </wp:anchor>
        </w:drawing>
      </w:r>
    </w:p>
    <w:p>
      <w:pPr>
        <w:pStyle w:val="Heading4"/>
        <w:ind w:hanging="0" w:start="0"/>
        <w:rPr>
          <w:rFonts w:ascii="Arial; Helvetica" w:hAnsi="Arial; Helvetica" w:cs="Arial; Helvetica"/>
          <w:sz w:val="19"/>
          <w:lang w:val="en-AU" w:eastAsia="en-US"/>
        </w:rPr>
      </w:pPr>
      <w:r>
        <w:rPr>
          <w:rFonts w:cs="Arial; Helvetica" w:ascii="Arial; Helvetica" w:hAnsi="Arial; Helvetica"/>
          <w:sz w:val="19"/>
          <w:lang w:val="en-AU" w:eastAsia="en-US"/>
        </w:rPr>
      </w:r>
    </w:p>
    <w:p>
      <w:pPr>
        <w:pStyle w:val="Heading4"/>
        <w:ind w:hanging="0" w:start="0"/>
        <w:rPr>
          <w:rFonts w:ascii="Arial; Helvetica" w:hAnsi="Arial; Helvetica" w:cs="Arial; Helvetica"/>
        </w:rPr>
      </w:pPr>
      <w:r>
        <w:rPr>
          <w:rFonts w:cs="Arial; Helvetica" w:ascii="Arial; Helvetica" w:hAnsi="Arial; Helvetica"/>
        </w:rPr>
      </w:r>
    </w:p>
    <w:p>
      <w:pPr>
        <w:pStyle w:val="Heading4"/>
        <w:ind w:hanging="0" w:start="0"/>
        <w:rPr>
          <w:rFonts w:ascii="Arial; Helvetica" w:hAnsi="Arial; Helvetica" w:cs="Arial; Helvetica"/>
        </w:rPr>
      </w:pPr>
      <w:r>
        <w:rPr>
          <w:rFonts w:cs="Arial; Helvetica" w:ascii="Arial; Helvetica" w:hAnsi="Arial; Helvetica"/>
        </w:rPr>
        <w:t>CONTINENTAL GAS Market News</w:t>
      </w:r>
    </w:p>
    <w:p>
      <w:pPr>
        <w:pStyle w:val="Normal"/>
        <w:spacing w:lineRule="atLeast" w:line="240"/>
        <w:jc w:val="both"/>
        <w:rPr>
          <w:rFonts w:ascii="Arial; Helvetica" w:hAnsi="Arial; Helvetica" w:cs="Arial; Helvetica"/>
          <w:color w:val="000000"/>
          <w:sz w:val="22"/>
          <w:lang w:val="en-AU" w:eastAsia="en-US"/>
        </w:rPr>
      </w:pPr>
      <w:r>
        <w:rPr>
          <w:rFonts w:cs="Arial; Helvetica"/>
          <w:color w:val="000000"/>
          <w:sz w:val="22"/>
          <w:lang w:val="en-AU" w:eastAsia="en-US"/>
        </w:rPr>
      </w:r>
    </w:p>
    <w:p>
      <w:pPr>
        <w:pStyle w:val="BodyText2"/>
        <w:rPr>
          <w:rFonts w:ascii="Helv;Arial" w:hAnsi="Helv;Arial" w:cs="Helv;Arial"/>
        </w:rPr>
      </w:pPr>
      <w:r>
        <w:rPr>
          <w:rFonts w:cs="Helv;Arial" w:ascii="Helv;Arial" w:hAnsi="Helv;Arial"/>
        </w:rPr>
        <w:t>Very prompt levels lost some ground in the Zeebrugge market, with Day-ahead ticking lower to close at 18.8-19.9p/th. News that the Interconnector had experienced some Dewpoint problems - which had curtailed operations for 30 minutes at the Bacton end - failed to spook the market, despite rumours that this could impact on flows during the weekend. The Weekend pushed higher to close at 18.4-19.3p/th but traders saw little evidence of panic bidding. On the curve Summer'01 attracted good interest, with the strip dealt at 19.5p/th. Winter'01 was also well talked with a Q4'01 deal going through at 19.7p/th before the period closed at 19.7-19.9p/th.</w:t>
      </w:r>
    </w:p>
    <w:p>
      <w:pPr>
        <w:pStyle w:val="Normal"/>
        <w:spacing w:lineRule="atLeast" w:line="240"/>
        <w:rPr>
          <w:rFonts w:ascii="Helv;Arial" w:hAnsi="Helv;Arial" w:cs="Helv;Arial"/>
          <w:color w:val="000000"/>
          <w:lang w:val="en-AU" w:eastAsia="en-US"/>
        </w:rPr>
      </w:pPr>
      <w:r>
        <w:rPr>
          <w:rFonts w:cs="Helv;Arial" w:ascii="Helv;Arial" w:hAnsi="Helv;Arial"/>
          <w:color w:val="000000"/>
          <w:lang w:val="en-AU" w:eastAsia="en-US"/>
        </w:rPr>
      </w:r>
    </w:p>
    <w:p>
      <w:pPr>
        <w:pStyle w:val="Normal"/>
        <w:spacing w:lineRule="atLeast" w:line="240"/>
        <w:jc w:val="both"/>
        <w:rPr>
          <w:color w:val="000000"/>
          <w:sz w:val="22"/>
          <w:lang w:val="en-AU" w:eastAsia="en-US"/>
        </w:rPr>
      </w:pPr>
      <w:r>
        <w:rPr>
          <w:rFonts w:cs="Helv;Arial" w:ascii="Helv;Arial" w:hAnsi="Helv;Arial"/>
          <w:color w:val="000000"/>
          <w:lang w:val="en-AU" w:eastAsia="en-US"/>
        </w:rPr>
        <w:drawing>
          <wp:inline distT="0" distB="0" distL="0" distR="0">
            <wp:extent cx="6143625" cy="27051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6" t="-13" r="-6" b="-13"/>
                    <a:stretch>
                      <a:fillRect/>
                    </a:stretch>
                  </pic:blipFill>
                  <pic:spPr bwMode="auto">
                    <a:xfrm>
                      <a:off x="0" y="0"/>
                      <a:ext cx="6143625" cy="2705100"/>
                    </a:xfrm>
                    <a:prstGeom prst="rect">
                      <a:avLst/>
                    </a:prstGeom>
                    <a:noFill/>
                  </pic:spPr>
                </pic:pic>
              </a:graphicData>
            </a:graphic>
          </wp:inline>
        </w:drawing>
      </w:r>
    </w:p>
    <w:p>
      <w:pPr>
        <w:pStyle w:val="Heading5"/>
        <w:spacing w:lineRule="atLeast" w:line="240"/>
        <w:ind w:hanging="0" w:start="0"/>
        <w:jc w:val="both"/>
        <w:rPr>
          <w:rFonts w:ascii="Arial; Helvetica" w:hAnsi="Arial; Helvetica" w:cs="Arial; Helvetica"/>
          <w:color w:val="000000"/>
          <w:sz w:val="22"/>
          <w:lang w:val="en-AU" w:eastAsia="en-US"/>
        </w:rPr>
      </w:pPr>
      <w:r>
        <w:rPr>
          <w:rFonts w:cs="Arial; Helvetica" w:ascii="Arial; Helvetica" w:hAnsi="Arial; Helvetica"/>
          <w:color w:val="000000"/>
          <w:sz w:val="22"/>
          <w:lang w:val="en-AU" w:eastAsia="en-US"/>
        </w:rPr>
      </w:r>
      <w:r>
        <w:br w:type="page"/>
      </w:r>
    </w:p>
    <w:p>
      <w:pPr>
        <w:pStyle w:val="Heading5"/>
        <w:spacing w:lineRule="atLeast" w:line="240"/>
        <w:ind w:hanging="0" w:start="0"/>
        <w:jc w:val="both"/>
        <w:rPr>
          <w:rFonts w:ascii="Arial; Helvetica" w:hAnsi="Arial; Helvetica" w:cs="Arial; Helvetica"/>
        </w:rPr>
      </w:pPr>
      <w:r>
        <w:rPr>
          <w:rFonts w:cs="Arial; Helvetica" w:ascii="Arial; Helvetica" w:hAnsi="Arial; Helvetica"/>
        </w:rPr>
        <w:t>CONTINENTAL POWER Market News</w:t>
      </w:r>
    </w:p>
    <w:p>
      <w:pPr>
        <w:pStyle w:val="Normal"/>
        <w:spacing w:lineRule="atLeast" w:line="240"/>
        <w:jc w:val="both"/>
        <w:rPr>
          <w:rFonts w:ascii="Arial; Helvetica" w:hAnsi="Arial; Helvetica" w:cs="Arial; Helvetica"/>
          <w:i/>
          <w:i/>
          <w:color w:val="000000"/>
          <w:sz w:val="22"/>
          <w:lang w:val="en-AU" w:eastAsia="en-US"/>
        </w:rPr>
      </w:pPr>
      <w:r>
        <w:rPr>
          <w:rFonts w:cs="Arial; Helvetica"/>
          <w:i/>
          <w:color w:val="000000"/>
          <w:sz w:val="22"/>
          <w:lang w:val="en-AU" w:eastAsia="en-US"/>
        </w:rPr>
      </w:r>
    </w:p>
    <w:p>
      <w:pPr>
        <w:pStyle w:val="Normal"/>
        <w:spacing w:lineRule="atLeast" w:line="240"/>
        <w:jc w:val="both"/>
        <w:rPr/>
      </w:pPr>
      <w:r>
        <w:rPr>
          <w:rFonts w:cs="Helv;Arial" w:ascii="Helv;Arial" w:hAnsi="Helv;Arial"/>
          <w:i/>
          <w:color w:val="000000"/>
          <w:sz w:val="22"/>
          <w:lang w:val="en-AU" w:eastAsia="en-US"/>
        </w:rPr>
        <w:t xml:space="preserve">German market:   </w:t>
      </w:r>
      <w:r>
        <w:rPr>
          <w:rFonts w:cs="Helv;Arial" w:ascii="Helv;Arial" w:hAnsi="Helv;Arial"/>
          <w:color w:val="000000"/>
          <w:sz w:val="22"/>
          <w:lang w:val="en-AU" w:eastAsia="en-US"/>
        </w:rPr>
        <w:t>Prompt demand rose, particularly for Day-ahead and Week-ahead, with Week-ahead Peaks parcels proving of particular interest to buyers. The period finished the day bid/offered at 25.60-25.90 euro/MWh, up by around 0.6 euros on the day before, and was the only prompt period to witness any price gains.  Sources speculated that this was due to players attempting to cover themselves for next week as they begin to establish their forward positions in the approach to September. With the exception of September'00 and December'00, the remaining months out to March 2001 all firmed slightly, amid tightening bid/offer spreads. Though the component quarters of 2001 remained neglected, good discussion was noted in Calendar Year'01 Baseload, which finished the day bid/offered at 19.65-19.75 euro/MWh, and Cal. Year'01 Peaks, which finished the day bid/offered at 27.00-27.10 euro/MWh. The latter parcel was reported to have traded, though no deal details could be confirmed.</w:t>
      </w:r>
    </w:p>
    <w:p>
      <w:pPr>
        <w:pStyle w:val="Normal"/>
        <w:spacing w:lineRule="atLeast" w:line="240"/>
        <w:jc w:val="both"/>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jc w:val="both"/>
        <w:rPr/>
      </w:pPr>
      <w:r>
        <w:rPr>
          <w:rFonts w:cs="Helv;Arial" w:ascii="Helv;Arial" w:hAnsi="Helv;Arial"/>
          <w:i/>
          <w:color w:val="000000"/>
          <w:sz w:val="22"/>
          <w:lang w:val="en-AU" w:eastAsia="en-US"/>
        </w:rPr>
        <w:t xml:space="preserve">Austrian market: </w:t>
      </w:r>
      <w:r>
        <w:rPr>
          <w:rFonts w:cs="Helv;Arial" w:ascii="Helv;Arial" w:hAnsi="Helv;Arial"/>
          <w:color w:val="000000"/>
          <w:sz w:val="22"/>
          <w:lang w:val="en-AU" w:eastAsia="en-US"/>
        </w:rPr>
        <w:t xml:space="preserve">  The Summer lill continued as thin discussion drove prices even further down. Day-ahead Baseload slid by around 1.25 euros while Day-ahead Peaks lost around 0.75 euros from previous levels. September was reported as the busiest period - though still comparatively quiet to normal activity levels - with Peaks firming slightly to close bid/offered 24.25-25.00 euro/MWh at the finish. With little change in market fundamentals - no rain is expected in Austria in the coming days - and players trying to second-guess forthcoming plant maintenance, there is still an air of directional uncertainty.</w:t>
      </w:r>
    </w:p>
    <w:p>
      <w:pPr>
        <w:pStyle w:val="Normal"/>
        <w:spacing w:lineRule="atLeast" w:line="240"/>
        <w:jc w:val="both"/>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jc w:val="both"/>
        <w:rPr/>
      </w:pPr>
      <w:r>
        <w:rPr>
          <w:rFonts w:cs="Helv;Arial" w:ascii="Helv;Arial" w:hAnsi="Helv;Arial"/>
          <w:i/>
          <w:color w:val="000000"/>
          <w:sz w:val="22"/>
          <w:lang w:val="en-AU" w:eastAsia="en-US"/>
        </w:rPr>
        <w:t xml:space="preserve">Swiss market: </w:t>
      </w:r>
      <w:r>
        <w:rPr>
          <w:rFonts w:cs="Helv;Arial" w:ascii="Helv;Arial" w:hAnsi="Helv;Arial"/>
          <w:color w:val="000000"/>
          <w:sz w:val="22"/>
          <w:lang w:val="en-AU" w:eastAsia="en-US"/>
        </w:rPr>
        <w:t xml:space="preserve">  Prompt prices continued to soften, edging ever closer to the "realistic prices" wanted by some players. Day-ahead reportedly witnessed "hectic trading" with Week-ahead also on the receiving end of good interest and levels said to be remaining firm. Surprised players commented on the high trading levels witnessed for next Monday, especially for Peaks, which hovered around the 27 euro/MWh mark. Good discussion was registered for other Peaks parcels though traders uncertain about the direction of the market refrained from trading them heavily.</w:t>
      </w:r>
    </w:p>
    <w:p>
      <w:pPr>
        <w:pStyle w:val="Normal"/>
        <w:spacing w:lineRule="atLeast" w:line="240"/>
        <w:jc w:val="both"/>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jc w:val="both"/>
        <w:rPr/>
      </w:pPr>
      <w:r>
        <w:rPr>
          <w:rFonts w:cs="Helv;Arial" w:ascii="Helv;Arial" w:hAnsi="Helv;Arial"/>
          <w:i/>
          <w:color w:val="000000"/>
          <w:sz w:val="22"/>
          <w:lang w:val="en-AU" w:eastAsia="en-US"/>
        </w:rPr>
        <w:t xml:space="preserve">Spanish market:  </w:t>
      </w:r>
      <w:r>
        <w:rPr>
          <w:rFonts w:cs="Helv;Arial" w:ascii="Helv;Arial" w:hAnsi="Helv;Arial"/>
          <w:color w:val="000000"/>
          <w:sz w:val="22"/>
          <w:lang w:val="en-AU" w:eastAsia="en-US"/>
        </w:rPr>
        <w:t xml:space="preserve"> Traders perceived a general early morning strengthening in numbers across the curve, but particularly in the short-term, with Week=ahead Baseload climbing to 27.95.28.40 euros/MWh. The Q4'00 component months also edged upwards, though players noted that, as buyers increased their bids, offers were retracted almost immediately. A combined October-November parcel was reported dealt at 28.48 euros/MWh.</w:t>
      </w:r>
    </w:p>
    <w:p>
      <w:pPr>
        <w:pStyle w:val="Normal"/>
        <w:spacing w:lineRule="atLeast" w:line="240"/>
        <w:jc w:val="both"/>
        <w:rPr>
          <w:rFonts w:ascii="Helv;Arial" w:hAnsi="Helv;Arial" w:cs="Helv;Arial"/>
          <w:color w:val="000000"/>
          <w:sz w:val="22"/>
          <w:lang w:val="en-AU" w:eastAsia="en-US"/>
        </w:rPr>
      </w:pPr>
      <w:r>
        <w:rPr>
          <w:rFonts w:cs="Helv;Arial" w:ascii="Helv;Arial" w:hAnsi="Helv;Arial"/>
          <w:color w:val="000000"/>
          <w:sz w:val="22"/>
          <w:lang w:val="en-AU" w:eastAsia="en-US"/>
        </w:rPr>
      </w:r>
    </w:p>
    <w:p>
      <w:pPr>
        <w:pStyle w:val="Normal"/>
        <w:spacing w:lineRule="atLeast" w:line="240"/>
        <w:jc w:val="both"/>
        <w:rPr>
          <w:i/>
          <w:i/>
          <w:color w:val="000000"/>
          <w:sz w:val="22"/>
          <w:lang w:val="en-AU" w:eastAsia="en-US"/>
        </w:rPr>
      </w:pPr>
      <w:r>
        <w:rPr>
          <w:rFonts w:cs="Helv;Arial" w:ascii="Helv;Arial" w:hAnsi="Helv;Arial"/>
          <w:color w:val="000000"/>
          <w:lang w:val="en-AU" w:eastAsia="en-US"/>
        </w:rPr>
        <w:drawing>
          <wp:inline distT="0" distB="0" distL="0" distR="0">
            <wp:extent cx="6141085" cy="278066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5" t="-11" r="-5" b="-11"/>
                    <a:stretch>
                      <a:fillRect/>
                    </a:stretch>
                  </pic:blipFill>
                  <pic:spPr bwMode="auto">
                    <a:xfrm>
                      <a:off x="0" y="0"/>
                      <a:ext cx="6141085" cy="2780665"/>
                    </a:xfrm>
                    <a:prstGeom prst="rect">
                      <a:avLst/>
                    </a:prstGeom>
                    <a:noFill/>
                  </pic:spPr>
                </pic:pic>
              </a:graphicData>
            </a:graphic>
          </wp:inline>
        </w:drawing>
      </w:r>
    </w:p>
    <w:p>
      <w:pPr>
        <w:pStyle w:val="Heading4"/>
        <w:spacing w:lineRule="atLeast" w:line="240"/>
        <w:ind w:hanging="0" w:start="0"/>
        <w:rPr>
          <w:rFonts w:ascii="Arial; Helvetica" w:hAnsi="Arial; Helvetica" w:cs="Arial; Helvetica"/>
          <w:i/>
          <w:i/>
          <w:color w:val="000000"/>
          <w:sz w:val="22"/>
          <w:lang w:val="en-AU" w:eastAsia="en-US"/>
        </w:rPr>
      </w:pPr>
      <w:r>
        <w:rPr>
          <w:rFonts w:cs="Arial; Helvetica" w:ascii="Arial; Helvetica" w:hAnsi="Arial; Helvetica"/>
          <w:i/>
          <w:color w:val="000000"/>
          <w:sz w:val="22"/>
          <w:lang w:val="en-AU" w:eastAsia="en-US"/>
        </w:rPr>
      </w:r>
      <w:r>
        <w:br w:type="page"/>
      </w:r>
    </w:p>
    <w:p>
      <w:pPr>
        <w:pStyle w:val="Heading4"/>
        <w:spacing w:lineRule="atLeast" w:line="240"/>
        <w:ind w:hanging="0" w:start="0"/>
        <w:rPr>
          <w:rFonts w:ascii="Arial; Helvetica" w:hAnsi="Arial; Helvetica" w:cs="Arial; Helvetica"/>
        </w:rPr>
      </w:pPr>
      <w:r>
        <w:rPr>
          <w:rFonts w:cs="Arial; Helvetica" w:ascii="Arial; Helvetica" w:hAnsi="Arial; Helvetica"/>
        </w:rPr>
      </w:r>
    </w:p>
    <w:p>
      <w:pPr>
        <w:pStyle w:val="Heading4"/>
        <w:spacing w:lineRule="atLeast" w:line="240"/>
        <w:ind w:hanging="0" w:start="0"/>
        <w:rPr>
          <w:rFonts w:ascii="Arial; Helvetica" w:hAnsi="Arial; Helvetica" w:cs="Arial; Helvetica"/>
        </w:rPr>
      </w:pPr>
      <w:r>
        <w:rPr>
          <w:rFonts w:cs="Arial; Helvetica" w:ascii="Arial; Helvetica" w:hAnsi="Arial; Helvetica"/>
        </w:rPr>
        <w:t>CRUDE OIL Market News</w:t>
      </w:r>
    </w:p>
    <w:p>
      <w:pPr>
        <w:pStyle w:val="Normal"/>
        <w:jc w:val="both"/>
        <w:rPr>
          <w:rFonts w:ascii="Arial; Helvetica" w:hAnsi="Arial; Helvetica" w:cs="Arial; Helvetica"/>
          <w:sz w:val="22"/>
        </w:rPr>
      </w:pPr>
      <w:r>
        <w:rPr>
          <w:rFonts w:cs="Arial; Helvetica"/>
          <w:sz w:val="22"/>
        </w:rPr>
      </w:r>
    </w:p>
    <w:p>
      <w:pPr>
        <w:pStyle w:val="Normal"/>
        <w:jc w:val="both"/>
        <w:rPr>
          <w:sz w:val="22"/>
        </w:rPr>
      </w:pPr>
      <w:r>
        <w:rPr>
          <w:sz w:val="22"/>
        </w:rPr>
        <w:t xml:space="preserve">Oil prices finished lower Thursday in the wake of Wednesday's stellar rally, but analysts said unless more oil comes on the market soon, prices will continue to rise. </w:t>
      </w:r>
    </w:p>
    <w:p>
      <w:pPr>
        <w:pStyle w:val="Normal"/>
        <w:jc w:val="both"/>
        <w:rPr>
          <w:sz w:val="22"/>
        </w:rPr>
      </w:pPr>
      <w:r>
        <w:rPr>
          <w:sz w:val="22"/>
        </w:rPr>
      </w:r>
    </w:p>
    <w:p>
      <w:pPr>
        <w:pStyle w:val="Normal"/>
        <w:jc w:val="both"/>
        <w:rPr>
          <w:sz w:val="22"/>
        </w:rPr>
      </w:pPr>
      <w:r>
        <w:rPr>
          <w:sz w:val="22"/>
        </w:rPr>
        <w:t xml:space="preserve">Energy futures rallied after the American Petroleum Institute reported late Tuesday a nearly eight-million-barrel decline in oil stocks last week, with inventories at their lowest levels in 24 years. The industry group also said distillate stocks dropped by nearly three million barrels and remain 21% below last year's levels. Analysts were expecting builds in both crude-oil and distillate inventories. </w:t>
      </w:r>
    </w:p>
    <w:p>
      <w:pPr>
        <w:pStyle w:val="Normal"/>
        <w:jc w:val="both"/>
        <w:rPr>
          <w:sz w:val="22"/>
        </w:rPr>
      </w:pPr>
      <w:r>
        <w:rPr>
          <w:sz w:val="22"/>
        </w:rPr>
        <w:t xml:space="preserve">With distillate stocks failing to build significantly over the low-demand summer months, worries are growing of a heating-oil shortage this winter, especially in the Northeast, the nation's largest heating-oil market. Those fears sent September heating oil Wednesday to its highest close since the Gulf War. </w:t>
      </w:r>
    </w:p>
    <w:p>
      <w:pPr>
        <w:pStyle w:val="Normal"/>
        <w:jc w:val="both"/>
        <w:rPr>
          <w:sz w:val="22"/>
        </w:rPr>
      </w:pPr>
      <w:r>
        <w:rPr>
          <w:sz w:val="22"/>
        </w:rPr>
      </w:r>
    </w:p>
    <w:p>
      <w:pPr>
        <w:pStyle w:val="Normal"/>
        <w:jc w:val="both"/>
        <w:rPr>
          <w:sz w:val="22"/>
        </w:rPr>
      </w:pPr>
      <w:r>
        <w:rPr>
          <w:sz w:val="22"/>
        </w:rPr>
        <w:t xml:space="preserve">For its part, OPEC, which already has raised its production quotas by 2.5 million barrels a day this year, continues to insist that much of the price surge is being caused by speculators and taxes on gasoline imposed by oil-consuming nations. </w:t>
      </w:r>
    </w:p>
    <w:p>
      <w:pPr>
        <w:pStyle w:val="Normal"/>
        <w:jc w:val="both"/>
        <w:rPr>
          <w:sz w:val="22"/>
        </w:rPr>
      </w:pPr>
      <w:r>
        <w:rPr>
          <w:sz w:val="22"/>
        </w:rPr>
      </w:r>
    </w:p>
    <w:p>
      <w:pPr>
        <w:pStyle w:val="Normal"/>
        <w:jc w:val="both"/>
        <w:rPr>
          <w:sz w:val="22"/>
        </w:rPr>
      </w:pPr>
      <w:r>
        <w:rPr>
          <w:sz w:val="22"/>
        </w:rPr>
        <w:t xml:space="preserve">Gasoline futures drew some support as the cash price of gasoline on the West Coast strengthened, suggesting refinery problems in the region. </w:t>
      </w:r>
    </w:p>
    <w:p>
      <w:pPr>
        <w:pStyle w:val="Normal"/>
        <w:jc w:val="both"/>
        <w:rPr>
          <w:sz w:val="22"/>
        </w:rPr>
      </w:pPr>
      <w:r>
        <w:rPr>
          <w:sz w:val="22"/>
        </w:rPr>
      </w:r>
    </w:p>
    <w:p>
      <w:pPr>
        <w:pStyle w:val="Heading2"/>
        <w:tabs>
          <w:tab w:val="clear" w:pos="720"/>
          <w:tab w:val="left" w:pos="2268" w:leader="none"/>
          <w:tab w:val="left" w:pos="3402" w:leader="none"/>
        </w:tabs>
        <w:ind w:hanging="0" w:start="0"/>
        <w:rPr>
          <w:rFonts w:ascii="Arial; Helvetica" w:hAnsi="Arial; Helvetica" w:cs="Arial; Helvetica"/>
        </w:rPr>
      </w:pPr>
      <w:r>
        <w:rPr>
          <w:rFonts w:cs="Arial; Helvetica" w:ascii="Arial; Helvetica" w:hAnsi="Arial; Helvetica"/>
        </w:rPr>
        <w:t>NYMEX</w:t>
        <w:tab/>
        <w:tab/>
        <w:tab/>
      </w:r>
    </w:p>
    <w:p>
      <w:pPr>
        <w:pStyle w:val="Normal"/>
        <w:tabs>
          <w:tab w:val="clear" w:pos="720"/>
          <w:tab w:val="left" w:pos="2268" w:leader="none"/>
          <w:tab w:val="left" w:pos="3544" w:leader="none"/>
        </w:tabs>
        <w:jc w:val="both"/>
        <w:rPr>
          <w:sz w:val="22"/>
        </w:rPr>
      </w:pPr>
      <w:r>
        <w:rPr>
          <w:sz w:val="22"/>
        </w:rPr>
        <w:t>October crude oil</w:t>
        <w:tab/>
        <w:t>-$0.39</w:t>
        <w:tab/>
        <w:t xml:space="preserve">$31.63 </w:t>
      </w:r>
    </w:p>
    <w:p>
      <w:pPr>
        <w:pStyle w:val="Normal"/>
        <w:tabs>
          <w:tab w:val="clear" w:pos="720"/>
          <w:tab w:val="left" w:pos="2268" w:leader="none"/>
          <w:tab w:val="left" w:pos="3544" w:leader="none"/>
        </w:tabs>
        <w:jc w:val="both"/>
        <w:rPr>
          <w:sz w:val="22"/>
        </w:rPr>
      </w:pPr>
      <w:r>
        <w:rPr>
          <w:sz w:val="22"/>
        </w:rPr>
        <w:t>November crude</w:t>
        <w:tab/>
        <w:t>-$0.47</w:t>
        <w:tab/>
        <w:t xml:space="preserve">$31.09 </w:t>
      </w:r>
    </w:p>
    <w:p>
      <w:pPr>
        <w:pStyle w:val="Normal"/>
        <w:tabs>
          <w:tab w:val="clear" w:pos="720"/>
          <w:tab w:val="left" w:pos="2268" w:leader="none"/>
          <w:tab w:val="left" w:pos="3544" w:leader="none"/>
          <w:tab w:val="left" w:pos="3969" w:leader="none"/>
        </w:tabs>
        <w:jc w:val="both"/>
        <w:rPr>
          <w:sz w:val="22"/>
        </w:rPr>
      </w:pPr>
      <w:r>
        <w:rPr>
          <w:sz w:val="22"/>
        </w:rPr>
        <w:t>September heating oil</w:t>
        <w:tab/>
        <w:t>-$0.0028</w:t>
        <w:tab/>
        <w:t xml:space="preserve">$0.9533 </w:t>
      </w:r>
    </w:p>
    <w:p>
      <w:pPr>
        <w:pStyle w:val="Normal"/>
        <w:tabs>
          <w:tab w:val="clear" w:pos="720"/>
          <w:tab w:val="left" w:pos="2268" w:leader="none"/>
          <w:tab w:val="left" w:pos="3544" w:leader="none"/>
          <w:tab w:val="left" w:pos="3969" w:leader="none"/>
        </w:tabs>
        <w:jc w:val="both"/>
        <w:rPr>
          <w:b/>
          <w:sz w:val="22"/>
        </w:rPr>
      </w:pPr>
      <w:r>
        <w:rPr>
          <w:sz w:val="22"/>
        </w:rPr>
        <w:t xml:space="preserve">September gasoline </w:t>
        <w:tab/>
        <w:t>+$0.0045</w:t>
        <w:tab/>
        <w:t>$0.9503</w:t>
      </w:r>
    </w:p>
    <w:p>
      <w:pPr>
        <w:pStyle w:val="Heading4"/>
        <w:ind w:hanging="0" w:start="0"/>
        <w:rPr>
          <w:rFonts w:ascii="Arial; Helvetica" w:hAnsi="Arial; Helvetica" w:cs="Arial; Helvetica"/>
          <w:b w:val="false"/>
          <w:sz w:val="22"/>
          <w:u w:val="none"/>
        </w:rPr>
      </w:pPr>
      <w:r>
        <w:rPr>
          <w:rFonts w:cs="Arial; Helvetica" w:ascii="Arial; Helvetica" w:hAnsi="Arial; Helvetica"/>
          <w:b w:val="false"/>
          <w:sz w:val="22"/>
          <w:u w:val="none"/>
        </w:rPr>
      </w:r>
    </w:p>
    <w:p>
      <w:pPr>
        <w:pStyle w:val="Heading4"/>
        <w:ind w:hanging="0" w:start="0"/>
        <w:rPr>
          <w:rFonts w:ascii="Arial; Helvetica" w:hAnsi="Arial; Helvetica" w:cs="Arial; Helvetica"/>
          <w:u w:val="none"/>
        </w:rPr>
      </w:pPr>
      <w:r>
        <w:rPr>
          <w:rFonts w:cs="Arial; Helvetica" w:ascii="Arial; Helvetica" w:hAnsi="Arial; Helvetica"/>
          <w:u w:val="none"/>
        </w:rPr>
        <w:t>IPE</w:t>
      </w:r>
    </w:p>
    <w:p>
      <w:pPr>
        <w:pStyle w:val="Normal"/>
        <w:tabs>
          <w:tab w:val="clear" w:pos="720"/>
          <w:tab w:val="left" w:pos="2268" w:leader="none"/>
          <w:tab w:val="left" w:pos="3544" w:leader="none"/>
        </w:tabs>
        <w:jc w:val="both"/>
        <w:rPr>
          <w:sz w:val="22"/>
        </w:rPr>
      </w:pPr>
      <w:r>
        <w:rPr>
          <w:sz w:val="22"/>
        </w:rPr>
        <w:t>October crude oil</w:t>
        <w:tab/>
        <w:t>-$0.34</w:t>
        <w:tab/>
        <w:t xml:space="preserve">$30.35 </w:t>
      </w:r>
    </w:p>
    <w:p>
      <w:pPr>
        <w:pStyle w:val="Normal"/>
        <w:tabs>
          <w:tab w:val="clear" w:pos="720"/>
          <w:tab w:val="left" w:pos="2268" w:leader="none"/>
          <w:tab w:val="left" w:pos="3544" w:leader="none"/>
        </w:tabs>
        <w:jc w:val="both"/>
        <w:rPr>
          <w:sz w:val="22"/>
        </w:rPr>
      </w:pPr>
      <w:r>
        <w:rPr>
          <w:sz w:val="22"/>
        </w:rPr>
        <w:t>November crude</w:t>
        <w:tab/>
        <w:t>-$-0.46</w:t>
        <w:tab/>
        <w:t xml:space="preserve">$29.93 </w:t>
      </w:r>
    </w:p>
    <w:p>
      <w:pPr>
        <w:pStyle w:val="Normal"/>
        <w:tabs>
          <w:tab w:val="clear" w:pos="720"/>
          <w:tab w:val="left" w:pos="2268" w:leader="none"/>
          <w:tab w:val="left" w:pos="3544" w:leader="none"/>
          <w:tab w:val="left" w:pos="3969" w:leader="none"/>
        </w:tabs>
        <w:jc w:val="both"/>
        <w:rPr>
          <w:sz w:val="22"/>
        </w:rPr>
      </w:pPr>
      <w:r>
        <w:rPr>
          <w:sz w:val="22"/>
        </w:rPr>
        <w:t>September gas oil</w:t>
        <w:tab/>
        <w:t>-$1.00</w:t>
        <w:tab/>
        <w:t xml:space="preserve">$299.50 </w:t>
      </w:r>
    </w:p>
    <w:p>
      <w:pPr>
        <w:pStyle w:val="Heading4"/>
        <w:ind w:hanging="0" w:start="0"/>
        <w:rPr>
          <w:rFonts w:ascii="Arial; Helvetica" w:hAnsi="Arial; Helvetica" w:cs="Arial; Helvetica"/>
          <w:sz w:val="22"/>
        </w:rPr>
      </w:pPr>
      <w:r>
        <w:rPr>
          <w:rFonts w:cs="Arial; Helvetica" w:ascii="Arial; Helvetica" w:hAnsi="Arial; Helvetica"/>
          <w:sz w:val="22"/>
        </w:rPr>
      </w:r>
    </w:p>
    <w:p>
      <w:pPr>
        <w:pStyle w:val="Heading4"/>
        <w:ind w:hanging="0" w:start="0"/>
        <w:rPr>
          <w:rFonts w:ascii="Arial; Helvetica" w:hAnsi="Arial; Helvetica" w:cs="Arial; Helvetica"/>
        </w:rPr>
      </w:pPr>
      <w:r>
        <w:rPr>
          <w:rFonts w:cs="Arial; Helvetica" w:ascii="Arial; Helvetica" w:hAnsi="Arial; Helvetica"/>
        </w:rPr>
      </w:r>
    </w:p>
    <w:p>
      <w:pPr>
        <w:pStyle w:val="Heading4"/>
        <w:ind w:hanging="0" w:start="0"/>
        <w:rPr>
          <w:rFonts w:ascii="Arial; Helvetica" w:hAnsi="Arial; Helvetica" w:cs="Arial; Helvetica"/>
        </w:rPr>
      </w:pPr>
      <w:r>
        <w:rPr>
          <w:rFonts w:cs="Arial; Helvetica" w:ascii="Arial; Helvetica" w:hAnsi="Arial; Helvetica"/>
        </w:rPr>
        <w:t>METALS Market News</w:t>
      </w:r>
    </w:p>
    <w:p>
      <w:pPr>
        <w:pStyle w:val="Normal"/>
        <w:jc w:val="both"/>
        <w:rPr>
          <w:rFonts w:ascii="Arial; Helvetica" w:hAnsi="Arial; Helvetica" w:cs="Arial; Helvetica"/>
          <w:sz w:val="22"/>
        </w:rPr>
      </w:pPr>
      <w:r>
        <w:rPr>
          <w:rFonts w:cs="Arial; Helvetica"/>
          <w:sz w:val="22"/>
        </w:rPr>
      </w:r>
    </w:p>
    <w:tbl>
      <w:tblPr>
        <w:tblW w:w="6126" w:type="dxa"/>
        <w:jc w:val="start"/>
        <w:tblInd w:w="0" w:type="dxa"/>
        <w:tblLayout w:type="fixed"/>
        <w:tblCellMar>
          <w:top w:w="0" w:type="dxa"/>
          <w:start w:w="30" w:type="dxa"/>
          <w:bottom w:w="0" w:type="dxa"/>
          <w:end w:w="30" w:type="dxa"/>
        </w:tblCellMar>
      </w:tblPr>
      <w:tblGrid>
        <w:gridCol w:w="1731"/>
        <w:gridCol w:w="1134"/>
        <w:gridCol w:w="1560"/>
        <w:gridCol w:w="1701"/>
      </w:tblGrid>
      <w:tr>
        <w:trPr>
          <w:trHeight w:val="290" w:hRule="atLeast"/>
        </w:trPr>
        <w:tc>
          <w:tcPr>
            <w:tcW w:w="2865" w:type="dxa"/>
            <w:gridSpan w:val="2"/>
            <w:tcBorders/>
          </w:tcPr>
          <w:p>
            <w:pPr>
              <w:pStyle w:val="Normal"/>
              <w:rPr>
                <w:b/>
                <w:sz w:val="22"/>
                <w:lang w:val="en-AU" w:eastAsia="en-US"/>
              </w:rPr>
            </w:pPr>
            <w:r>
              <w:rPr>
                <w:b/>
                <w:sz w:val="22"/>
                <w:lang w:val="en-AU" w:eastAsia="en-US"/>
              </w:rPr>
              <w:t>LME ($/metric tonne)</w:t>
            </w:r>
          </w:p>
        </w:tc>
        <w:tc>
          <w:tcPr>
            <w:tcW w:w="0" w:type="dxa"/>
            <w:vMerge w:val="continue"/>
            <w:tcBorders/>
          </w:tcPr>
          <w:p>
            <w:pPr>
              <w:pStyle w:val="Normal"/>
              <w:snapToGrid w:val="false"/>
              <w:jc w:val="end"/>
              <w:rPr>
                <w:b/>
                <w:color w:val="000000"/>
                <w:sz w:val="22"/>
                <w:lang w:val="en-AU" w:eastAsia="en-US"/>
              </w:rPr>
            </w:pPr>
            <w:r>
              <w:rPr>
                <w:b/>
                <w:color w:val="000000"/>
                <w:sz w:val="22"/>
                <w:lang w:val="en-AU" w:eastAsia="en-US"/>
              </w:rPr>
            </w:r>
          </w:p>
        </w:tc>
        <w:tc>
          <w:tcPr>
            <w:tcW w:w="1560" w:type="dxa"/>
            <w:tcBorders/>
          </w:tcPr>
          <w:p>
            <w:pPr>
              <w:pStyle w:val="Normal"/>
              <w:snapToGrid w:val="false"/>
              <w:jc w:val="end"/>
              <w:rPr>
                <w:color w:val="000000"/>
                <w:sz w:val="22"/>
                <w:lang w:val="en-AU" w:eastAsia="en-US"/>
              </w:rPr>
            </w:pPr>
            <w:r>
              <w:rPr>
                <w:color w:val="000000"/>
                <w:sz w:val="22"/>
                <w:lang w:val="en-AU" w:eastAsia="en-US"/>
              </w:rPr>
            </w:r>
          </w:p>
        </w:tc>
        <w:tc>
          <w:tcPr>
            <w:tcW w:w="1701" w:type="dxa"/>
            <w:tcBorders/>
          </w:tcPr>
          <w:p>
            <w:pPr>
              <w:pStyle w:val="Normal"/>
              <w:snapToGrid w:val="false"/>
              <w:jc w:val="end"/>
              <w:rPr>
                <w:color w:val="000000"/>
                <w:sz w:val="22"/>
                <w:lang w:val="en-AU" w:eastAsia="en-US"/>
              </w:rPr>
            </w:pPr>
            <w:r>
              <w:rPr>
                <w:color w:val="000000"/>
                <w:sz w:val="22"/>
                <w:lang w:val="en-AU" w:eastAsia="en-US"/>
              </w:rPr>
            </w:r>
          </w:p>
        </w:tc>
      </w:tr>
      <w:tr>
        <w:trPr>
          <w:trHeight w:val="247" w:hRule="atLeast"/>
        </w:trPr>
        <w:tc>
          <w:tcPr>
            <w:tcW w:w="1731" w:type="dxa"/>
            <w:tcBorders>
              <w:top w:val="single" w:sz="6" w:space="0" w:color="000000"/>
              <w:start w:val="single" w:sz="6" w:space="0" w:color="000000"/>
            </w:tcBorders>
          </w:tcPr>
          <w:p>
            <w:pPr>
              <w:pStyle w:val="Normal"/>
              <w:snapToGrid w:val="false"/>
              <w:jc w:val="end"/>
              <w:rPr>
                <w:color w:val="000000"/>
                <w:sz w:val="22"/>
                <w:lang w:val="en-AU" w:eastAsia="en-US"/>
              </w:rPr>
            </w:pPr>
            <w:r>
              <w:rPr>
                <w:color w:val="000000"/>
                <w:sz w:val="22"/>
                <w:lang w:val="en-AU" w:eastAsia="en-US"/>
              </w:rPr>
            </w:r>
          </w:p>
        </w:tc>
        <w:tc>
          <w:tcPr>
            <w:tcW w:w="1134" w:type="dxa"/>
            <w:tcBorders>
              <w:top w:val="single" w:sz="6" w:space="0" w:color="000000"/>
            </w:tcBorders>
          </w:tcPr>
          <w:p>
            <w:pPr>
              <w:pStyle w:val="Normal"/>
              <w:jc w:val="end"/>
              <w:rPr>
                <w:i/>
                <w:i/>
                <w:color w:val="000000"/>
                <w:sz w:val="22"/>
                <w:lang w:val="en-AU" w:eastAsia="en-US"/>
              </w:rPr>
            </w:pPr>
            <w:r>
              <w:rPr>
                <w:i/>
                <w:color w:val="000000"/>
                <w:sz w:val="22"/>
                <w:lang w:val="en-AU" w:eastAsia="en-US"/>
              </w:rPr>
              <w:t>Last</w:t>
            </w:r>
          </w:p>
        </w:tc>
        <w:tc>
          <w:tcPr>
            <w:tcW w:w="1560" w:type="dxa"/>
            <w:tcBorders>
              <w:top w:val="single" w:sz="6" w:space="0" w:color="000000"/>
            </w:tcBorders>
          </w:tcPr>
          <w:p>
            <w:pPr>
              <w:pStyle w:val="Normal"/>
              <w:jc w:val="end"/>
              <w:rPr>
                <w:i/>
                <w:i/>
                <w:color w:val="000000"/>
                <w:sz w:val="22"/>
                <w:lang w:val="en-AU" w:eastAsia="en-US"/>
              </w:rPr>
            </w:pPr>
            <w:r>
              <w:rPr>
                <w:i/>
                <w:color w:val="000000"/>
                <w:sz w:val="22"/>
                <w:lang w:val="en-AU" w:eastAsia="en-US"/>
              </w:rPr>
              <w:t>1 Day Move</w:t>
            </w:r>
          </w:p>
        </w:tc>
        <w:tc>
          <w:tcPr>
            <w:tcW w:w="1701" w:type="dxa"/>
            <w:tcBorders>
              <w:top w:val="single" w:sz="6" w:space="0" w:color="000000"/>
              <w:end w:val="single" w:sz="6" w:space="0" w:color="000000"/>
            </w:tcBorders>
          </w:tcPr>
          <w:p>
            <w:pPr>
              <w:pStyle w:val="Normal"/>
              <w:jc w:val="end"/>
              <w:rPr>
                <w:i/>
                <w:i/>
                <w:color w:val="000000"/>
                <w:sz w:val="22"/>
                <w:lang w:val="en-AU" w:eastAsia="en-US"/>
              </w:rPr>
            </w:pPr>
            <w:r>
              <w:rPr>
                <w:i/>
                <w:color w:val="000000"/>
                <w:sz w:val="22"/>
                <w:lang w:val="en-AU" w:eastAsia="en-US"/>
              </w:rPr>
              <w:t>1 Month Move</w:t>
            </w:r>
          </w:p>
        </w:tc>
      </w:tr>
      <w:tr>
        <w:trPr>
          <w:trHeight w:val="247" w:hRule="atLeast"/>
        </w:trPr>
        <w:tc>
          <w:tcPr>
            <w:tcW w:w="1731" w:type="dxa"/>
            <w:tcBorders>
              <w:start w:val="single" w:sz="6" w:space="0" w:color="000000"/>
            </w:tcBorders>
          </w:tcPr>
          <w:p>
            <w:pPr>
              <w:pStyle w:val="Normal"/>
              <w:rPr>
                <w:color w:val="000000"/>
                <w:sz w:val="22"/>
                <w:lang w:val="en-AU" w:eastAsia="en-US"/>
              </w:rPr>
            </w:pPr>
            <w:r>
              <w:rPr>
                <w:color w:val="000000"/>
                <w:sz w:val="22"/>
                <w:lang w:val="en-AU" w:eastAsia="en-US"/>
              </w:rPr>
              <w:t>Nickel</w:t>
            </w:r>
          </w:p>
        </w:tc>
        <w:tc>
          <w:tcPr>
            <w:tcW w:w="1134" w:type="dxa"/>
            <w:tcBorders/>
          </w:tcPr>
          <w:p>
            <w:pPr>
              <w:pStyle w:val="Normal"/>
              <w:jc w:val="end"/>
              <w:rPr>
                <w:color w:val="000000"/>
                <w:sz w:val="22"/>
                <w:lang w:val="en-AU" w:eastAsia="en-US"/>
              </w:rPr>
            </w:pPr>
            <w:r>
              <w:rPr>
                <w:color w:val="000000"/>
                <w:sz w:val="22"/>
                <w:lang w:val="en-AU" w:eastAsia="en-US"/>
              </w:rPr>
              <w:t>8530</w:t>
            </w:r>
          </w:p>
        </w:tc>
        <w:tc>
          <w:tcPr>
            <w:tcW w:w="1560" w:type="dxa"/>
            <w:tcBorders/>
          </w:tcPr>
          <w:p>
            <w:pPr>
              <w:pStyle w:val="Normal"/>
              <w:jc w:val="end"/>
              <w:rPr>
                <w:color w:val="000000"/>
                <w:sz w:val="22"/>
                <w:lang w:val="en-AU" w:eastAsia="en-US"/>
              </w:rPr>
            </w:pPr>
            <w:r>
              <w:rPr>
                <w:color w:val="000000"/>
                <w:sz w:val="22"/>
                <w:lang w:val="en-AU" w:eastAsia="en-US"/>
              </w:rPr>
              <w:t>-0.29%</w:t>
            </w:r>
          </w:p>
        </w:tc>
        <w:tc>
          <w:tcPr>
            <w:tcW w:w="1701" w:type="dxa"/>
            <w:tcBorders>
              <w:end w:val="single" w:sz="6" w:space="0" w:color="000000"/>
            </w:tcBorders>
          </w:tcPr>
          <w:p>
            <w:pPr>
              <w:pStyle w:val="Normal"/>
              <w:jc w:val="end"/>
              <w:rPr>
                <w:color w:val="000000"/>
                <w:sz w:val="22"/>
                <w:lang w:val="en-AU" w:eastAsia="en-US"/>
              </w:rPr>
            </w:pPr>
            <w:r>
              <w:rPr>
                <w:color w:val="000000"/>
                <w:sz w:val="22"/>
                <w:lang w:val="en-AU" w:eastAsia="en-US"/>
              </w:rPr>
              <w:t>9.32%</w:t>
            </w:r>
          </w:p>
        </w:tc>
      </w:tr>
      <w:tr>
        <w:trPr>
          <w:trHeight w:val="247" w:hRule="atLeast"/>
        </w:trPr>
        <w:tc>
          <w:tcPr>
            <w:tcW w:w="1731" w:type="dxa"/>
            <w:tcBorders>
              <w:start w:val="single" w:sz="6" w:space="0" w:color="000000"/>
            </w:tcBorders>
          </w:tcPr>
          <w:p>
            <w:pPr>
              <w:pStyle w:val="Normal"/>
              <w:rPr>
                <w:color w:val="000000"/>
                <w:sz w:val="22"/>
                <w:lang w:val="en-AU" w:eastAsia="en-US"/>
              </w:rPr>
            </w:pPr>
            <w:r>
              <w:rPr>
                <w:color w:val="000000"/>
                <w:sz w:val="22"/>
                <w:lang w:val="en-AU" w:eastAsia="en-US"/>
              </w:rPr>
              <w:t>Aluminium</w:t>
            </w:r>
          </w:p>
        </w:tc>
        <w:tc>
          <w:tcPr>
            <w:tcW w:w="1134" w:type="dxa"/>
            <w:tcBorders/>
          </w:tcPr>
          <w:p>
            <w:pPr>
              <w:pStyle w:val="Normal"/>
              <w:jc w:val="end"/>
              <w:rPr>
                <w:color w:val="000000"/>
                <w:sz w:val="22"/>
                <w:lang w:val="en-AU" w:eastAsia="en-US"/>
              </w:rPr>
            </w:pPr>
            <w:r>
              <w:rPr>
                <w:color w:val="000000"/>
                <w:sz w:val="22"/>
                <w:lang w:val="en-AU" w:eastAsia="en-US"/>
              </w:rPr>
              <w:t>1525</w:t>
            </w:r>
          </w:p>
        </w:tc>
        <w:tc>
          <w:tcPr>
            <w:tcW w:w="1560" w:type="dxa"/>
            <w:tcBorders/>
          </w:tcPr>
          <w:p>
            <w:pPr>
              <w:pStyle w:val="Normal"/>
              <w:jc w:val="end"/>
              <w:rPr>
                <w:color w:val="000000"/>
                <w:sz w:val="22"/>
                <w:lang w:val="en-AU" w:eastAsia="en-US"/>
              </w:rPr>
            </w:pPr>
            <w:r>
              <w:rPr>
                <w:color w:val="000000"/>
                <w:sz w:val="22"/>
                <w:lang w:val="en-AU" w:eastAsia="en-US"/>
              </w:rPr>
              <w:t>0.36%</w:t>
            </w:r>
          </w:p>
        </w:tc>
        <w:tc>
          <w:tcPr>
            <w:tcW w:w="1701" w:type="dxa"/>
            <w:tcBorders>
              <w:end w:val="single" w:sz="6" w:space="0" w:color="000000"/>
            </w:tcBorders>
          </w:tcPr>
          <w:p>
            <w:pPr>
              <w:pStyle w:val="Normal"/>
              <w:jc w:val="end"/>
              <w:rPr>
                <w:color w:val="000000"/>
                <w:sz w:val="22"/>
                <w:lang w:val="en-AU" w:eastAsia="en-US"/>
              </w:rPr>
            </w:pPr>
            <w:r>
              <w:rPr>
                <w:color w:val="000000"/>
                <w:sz w:val="22"/>
                <w:lang w:val="en-AU" w:eastAsia="en-US"/>
              </w:rPr>
              <w:t>-1.39%</w:t>
            </w:r>
          </w:p>
        </w:tc>
      </w:tr>
      <w:tr>
        <w:trPr>
          <w:trHeight w:val="247" w:hRule="atLeast"/>
        </w:trPr>
        <w:tc>
          <w:tcPr>
            <w:tcW w:w="1731" w:type="dxa"/>
            <w:tcBorders>
              <w:start w:val="single" w:sz="6" w:space="0" w:color="000000"/>
            </w:tcBorders>
          </w:tcPr>
          <w:p>
            <w:pPr>
              <w:pStyle w:val="Normal"/>
              <w:rPr>
                <w:color w:val="000000"/>
                <w:sz w:val="22"/>
                <w:lang w:val="en-AU" w:eastAsia="en-US"/>
              </w:rPr>
            </w:pPr>
            <w:r>
              <w:rPr>
                <w:color w:val="000000"/>
                <w:sz w:val="22"/>
                <w:lang w:val="en-AU" w:eastAsia="en-US"/>
              </w:rPr>
              <w:t>Copper</w:t>
            </w:r>
          </w:p>
        </w:tc>
        <w:tc>
          <w:tcPr>
            <w:tcW w:w="1134" w:type="dxa"/>
            <w:tcBorders/>
          </w:tcPr>
          <w:p>
            <w:pPr>
              <w:pStyle w:val="Normal"/>
              <w:jc w:val="end"/>
              <w:rPr>
                <w:color w:val="000000"/>
                <w:sz w:val="22"/>
                <w:lang w:val="en-AU" w:eastAsia="en-US"/>
              </w:rPr>
            </w:pPr>
            <w:r>
              <w:rPr>
                <w:color w:val="000000"/>
                <w:sz w:val="22"/>
                <w:lang w:val="en-AU" w:eastAsia="en-US"/>
              </w:rPr>
              <w:t>1849</w:t>
            </w:r>
          </w:p>
        </w:tc>
        <w:tc>
          <w:tcPr>
            <w:tcW w:w="1560" w:type="dxa"/>
            <w:tcBorders/>
          </w:tcPr>
          <w:p>
            <w:pPr>
              <w:pStyle w:val="Normal"/>
              <w:jc w:val="end"/>
              <w:rPr>
                <w:color w:val="000000"/>
                <w:sz w:val="22"/>
                <w:lang w:val="en-AU" w:eastAsia="en-US"/>
              </w:rPr>
            </w:pPr>
            <w:r>
              <w:rPr>
                <w:color w:val="000000"/>
                <w:sz w:val="22"/>
                <w:lang w:val="en-AU" w:eastAsia="en-US"/>
              </w:rPr>
              <w:t>0.30%</w:t>
            </w:r>
          </w:p>
        </w:tc>
        <w:tc>
          <w:tcPr>
            <w:tcW w:w="1701" w:type="dxa"/>
            <w:tcBorders>
              <w:end w:val="single" w:sz="6" w:space="0" w:color="000000"/>
            </w:tcBorders>
          </w:tcPr>
          <w:p>
            <w:pPr>
              <w:pStyle w:val="Normal"/>
              <w:jc w:val="end"/>
              <w:rPr>
                <w:color w:val="000000"/>
                <w:sz w:val="22"/>
                <w:lang w:val="en-AU" w:eastAsia="en-US"/>
              </w:rPr>
            </w:pPr>
            <w:r>
              <w:rPr>
                <w:color w:val="000000"/>
                <w:sz w:val="22"/>
                <w:lang w:val="en-AU" w:eastAsia="en-US"/>
              </w:rPr>
              <w:t>-0.46%</w:t>
            </w:r>
          </w:p>
        </w:tc>
      </w:tr>
      <w:tr>
        <w:trPr>
          <w:trHeight w:val="247" w:hRule="atLeast"/>
        </w:trPr>
        <w:tc>
          <w:tcPr>
            <w:tcW w:w="1731" w:type="dxa"/>
            <w:tcBorders>
              <w:start w:val="single" w:sz="6" w:space="0" w:color="000000"/>
            </w:tcBorders>
          </w:tcPr>
          <w:p>
            <w:pPr>
              <w:pStyle w:val="Normal"/>
              <w:rPr>
                <w:color w:val="000000"/>
                <w:sz w:val="22"/>
                <w:lang w:val="en-AU" w:eastAsia="en-US"/>
              </w:rPr>
            </w:pPr>
            <w:r>
              <w:rPr>
                <w:color w:val="000000"/>
                <w:sz w:val="22"/>
                <w:lang w:val="en-AU" w:eastAsia="en-US"/>
              </w:rPr>
              <w:t>Zinc</w:t>
            </w:r>
          </w:p>
        </w:tc>
        <w:tc>
          <w:tcPr>
            <w:tcW w:w="1134" w:type="dxa"/>
            <w:tcBorders/>
          </w:tcPr>
          <w:p>
            <w:pPr>
              <w:pStyle w:val="Normal"/>
              <w:jc w:val="end"/>
              <w:rPr>
                <w:color w:val="000000"/>
                <w:sz w:val="22"/>
                <w:lang w:val="en-AU" w:eastAsia="en-US"/>
              </w:rPr>
            </w:pPr>
            <w:r>
              <w:rPr>
                <w:color w:val="000000"/>
                <w:sz w:val="22"/>
                <w:lang w:val="en-AU" w:eastAsia="en-US"/>
              </w:rPr>
              <w:t>1182</w:t>
            </w:r>
          </w:p>
        </w:tc>
        <w:tc>
          <w:tcPr>
            <w:tcW w:w="1560" w:type="dxa"/>
            <w:tcBorders/>
          </w:tcPr>
          <w:p>
            <w:pPr>
              <w:pStyle w:val="Normal"/>
              <w:jc w:val="end"/>
              <w:rPr>
                <w:color w:val="000000"/>
                <w:sz w:val="22"/>
                <w:lang w:val="en-AU" w:eastAsia="en-US"/>
              </w:rPr>
            </w:pPr>
            <w:r>
              <w:rPr>
                <w:color w:val="000000"/>
                <w:sz w:val="22"/>
                <w:lang w:val="en-AU" w:eastAsia="en-US"/>
              </w:rPr>
              <w:t>0.34%</w:t>
            </w:r>
          </w:p>
        </w:tc>
        <w:tc>
          <w:tcPr>
            <w:tcW w:w="1701" w:type="dxa"/>
            <w:tcBorders>
              <w:end w:val="single" w:sz="6" w:space="0" w:color="000000"/>
            </w:tcBorders>
          </w:tcPr>
          <w:p>
            <w:pPr>
              <w:pStyle w:val="Normal"/>
              <w:jc w:val="end"/>
              <w:rPr>
                <w:color w:val="000000"/>
                <w:sz w:val="22"/>
                <w:lang w:val="en-AU" w:eastAsia="en-US"/>
              </w:rPr>
            </w:pPr>
            <w:r>
              <w:rPr>
                <w:color w:val="000000"/>
                <w:sz w:val="22"/>
                <w:lang w:val="en-AU" w:eastAsia="en-US"/>
              </w:rPr>
              <w:t>2.69%</w:t>
            </w:r>
          </w:p>
        </w:tc>
      </w:tr>
      <w:tr>
        <w:trPr>
          <w:trHeight w:val="247" w:hRule="atLeast"/>
        </w:trPr>
        <w:tc>
          <w:tcPr>
            <w:tcW w:w="1731" w:type="dxa"/>
            <w:tcBorders>
              <w:start w:val="single" w:sz="6" w:space="0" w:color="000000"/>
            </w:tcBorders>
          </w:tcPr>
          <w:p>
            <w:pPr>
              <w:pStyle w:val="Normal"/>
              <w:rPr>
                <w:color w:val="000000"/>
                <w:sz w:val="22"/>
                <w:lang w:val="en-AU" w:eastAsia="en-US"/>
              </w:rPr>
            </w:pPr>
            <w:r>
              <w:rPr>
                <w:color w:val="000000"/>
                <w:sz w:val="22"/>
                <w:lang w:val="en-AU" w:eastAsia="en-US"/>
              </w:rPr>
              <w:t>Tin</w:t>
            </w:r>
          </w:p>
        </w:tc>
        <w:tc>
          <w:tcPr>
            <w:tcW w:w="1134" w:type="dxa"/>
            <w:tcBorders/>
          </w:tcPr>
          <w:p>
            <w:pPr>
              <w:pStyle w:val="Normal"/>
              <w:jc w:val="end"/>
              <w:rPr>
                <w:color w:val="000000"/>
                <w:sz w:val="22"/>
                <w:lang w:val="en-AU" w:eastAsia="en-US"/>
              </w:rPr>
            </w:pPr>
            <w:r>
              <w:rPr>
                <w:color w:val="000000"/>
                <w:sz w:val="22"/>
                <w:lang w:val="en-AU" w:eastAsia="en-US"/>
              </w:rPr>
              <w:t>5420</w:t>
            </w:r>
          </w:p>
        </w:tc>
        <w:tc>
          <w:tcPr>
            <w:tcW w:w="1560" w:type="dxa"/>
            <w:tcBorders/>
          </w:tcPr>
          <w:p>
            <w:pPr>
              <w:pStyle w:val="Normal"/>
              <w:jc w:val="end"/>
              <w:rPr>
                <w:color w:val="000000"/>
                <w:sz w:val="22"/>
                <w:lang w:val="en-AU" w:eastAsia="en-US"/>
              </w:rPr>
            </w:pPr>
            <w:r>
              <w:rPr>
                <w:color w:val="000000"/>
                <w:sz w:val="22"/>
                <w:lang w:val="en-AU" w:eastAsia="en-US"/>
              </w:rPr>
              <w:t>1.47%</w:t>
            </w:r>
          </w:p>
        </w:tc>
        <w:tc>
          <w:tcPr>
            <w:tcW w:w="1701" w:type="dxa"/>
            <w:tcBorders>
              <w:end w:val="single" w:sz="6" w:space="0" w:color="000000"/>
            </w:tcBorders>
          </w:tcPr>
          <w:p>
            <w:pPr>
              <w:pStyle w:val="Normal"/>
              <w:jc w:val="end"/>
              <w:rPr>
                <w:color w:val="000000"/>
                <w:sz w:val="22"/>
                <w:lang w:val="en-AU" w:eastAsia="en-US"/>
              </w:rPr>
            </w:pPr>
            <w:r>
              <w:rPr>
                <w:color w:val="000000"/>
                <w:sz w:val="22"/>
                <w:lang w:val="en-AU" w:eastAsia="en-US"/>
              </w:rPr>
              <w:t>3.79%</w:t>
            </w:r>
          </w:p>
        </w:tc>
      </w:tr>
      <w:tr>
        <w:trPr>
          <w:trHeight w:val="247" w:hRule="atLeast"/>
        </w:trPr>
        <w:tc>
          <w:tcPr>
            <w:tcW w:w="1731" w:type="dxa"/>
            <w:tcBorders>
              <w:start w:val="single" w:sz="6" w:space="0" w:color="000000"/>
              <w:bottom w:val="single" w:sz="6" w:space="0" w:color="000000"/>
            </w:tcBorders>
          </w:tcPr>
          <w:p>
            <w:pPr>
              <w:pStyle w:val="Normal"/>
              <w:rPr>
                <w:color w:val="000000"/>
                <w:sz w:val="22"/>
                <w:lang w:val="en-AU" w:eastAsia="en-US"/>
              </w:rPr>
            </w:pPr>
            <w:r>
              <w:rPr>
                <w:color w:val="000000"/>
                <w:sz w:val="22"/>
                <w:lang w:val="en-AU" w:eastAsia="en-US"/>
              </w:rPr>
              <w:t>Lead</w:t>
            </w:r>
          </w:p>
        </w:tc>
        <w:tc>
          <w:tcPr>
            <w:tcW w:w="1134" w:type="dxa"/>
            <w:tcBorders>
              <w:bottom w:val="single" w:sz="6" w:space="0" w:color="000000"/>
            </w:tcBorders>
          </w:tcPr>
          <w:p>
            <w:pPr>
              <w:pStyle w:val="Normal"/>
              <w:jc w:val="end"/>
              <w:rPr>
                <w:color w:val="000000"/>
                <w:sz w:val="22"/>
                <w:lang w:val="en-AU" w:eastAsia="en-US"/>
              </w:rPr>
            </w:pPr>
            <w:r>
              <w:rPr>
                <w:color w:val="000000"/>
                <w:sz w:val="22"/>
                <w:lang w:val="en-AU" w:eastAsia="en-US"/>
              </w:rPr>
              <w:t>473.5</w:t>
            </w:r>
          </w:p>
        </w:tc>
        <w:tc>
          <w:tcPr>
            <w:tcW w:w="1560" w:type="dxa"/>
            <w:tcBorders>
              <w:bottom w:val="single" w:sz="6" w:space="0" w:color="000000"/>
            </w:tcBorders>
          </w:tcPr>
          <w:p>
            <w:pPr>
              <w:pStyle w:val="Normal"/>
              <w:jc w:val="end"/>
              <w:rPr>
                <w:color w:val="000000"/>
                <w:sz w:val="22"/>
                <w:lang w:val="en-AU" w:eastAsia="en-US"/>
              </w:rPr>
            </w:pPr>
            <w:r>
              <w:rPr>
                <w:color w:val="000000"/>
                <w:sz w:val="22"/>
                <w:lang w:val="en-AU" w:eastAsia="en-US"/>
              </w:rPr>
              <w:t>-0.84%</w:t>
            </w:r>
          </w:p>
        </w:tc>
        <w:tc>
          <w:tcPr>
            <w:tcW w:w="1701" w:type="dxa"/>
            <w:tcBorders>
              <w:bottom w:val="single" w:sz="6" w:space="0" w:color="000000"/>
              <w:end w:val="single" w:sz="6" w:space="0" w:color="000000"/>
            </w:tcBorders>
          </w:tcPr>
          <w:p>
            <w:pPr>
              <w:pStyle w:val="Normal"/>
              <w:jc w:val="end"/>
              <w:rPr>
                <w:color w:val="000000"/>
                <w:sz w:val="22"/>
                <w:lang w:val="en-AU" w:eastAsia="en-US"/>
              </w:rPr>
            </w:pPr>
            <w:r>
              <w:rPr>
                <w:color w:val="000000"/>
                <w:sz w:val="22"/>
                <w:lang w:val="en-AU" w:eastAsia="en-US"/>
              </w:rPr>
              <w:t>0.00%</w:t>
            </w:r>
          </w:p>
        </w:tc>
      </w:tr>
    </w:tbl>
    <w:p>
      <w:pPr>
        <w:pStyle w:val="Normal"/>
        <w:jc w:val="both"/>
        <w:rPr>
          <w:sz w:val="22"/>
        </w:rPr>
      </w:pPr>
      <w:r>
        <w:rPr>
          <w:sz w:val="22"/>
        </w:rPr>
      </w:r>
    </w:p>
    <w:p>
      <w:pPr>
        <w:pStyle w:val="Heading4"/>
        <w:ind w:hanging="0" w:start="0"/>
        <w:rPr>
          <w:rFonts w:ascii="Arial; Helvetica" w:hAnsi="Arial; Helvetica" w:cs="Arial; Helvetica"/>
          <w:sz w:val="22"/>
        </w:rPr>
      </w:pPr>
      <w:r>
        <w:rPr>
          <w:rFonts w:cs="Arial; Helvetica" w:ascii="Arial; Helvetica" w:hAnsi="Arial; Helvetica"/>
          <w:sz w:val="22"/>
        </w:rPr>
      </w:r>
      <w:r>
        <w:br w:type="page"/>
      </w:r>
    </w:p>
    <w:p>
      <w:pPr>
        <w:pStyle w:val="Heading4"/>
        <w:ind w:hanging="0" w:start="0"/>
        <w:rPr>
          <w:rFonts w:ascii="Arial; Helvetica" w:hAnsi="Arial; Helvetica" w:cs="Arial; Helvetica"/>
        </w:rPr>
      </w:pPr>
      <w:r>
        <w:rPr>
          <w:rFonts w:cs="Arial; Helvetica" w:ascii="Arial; Helvetica" w:hAnsi="Arial; Helvetica"/>
        </w:rPr>
      </w:r>
    </w:p>
    <w:p>
      <w:pPr>
        <w:pStyle w:val="Heading4"/>
        <w:ind w:hanging="0" w:start="0"/>
        <w:rPr>
          <w:rFonts w:ascii="Arial; Helvetica" w:hAnsi="Arial; Helvetica" w:cs="Arial; Helvetica"/>
        </w:rPr>
      </w:pPr>
      <w:r>
        <w:rPr>
          <w:rFonts w:cs="Arial; Helvetica" w:ascii="Arial; Helvetica" w:hAnsi="Arial; Helvetica"/>
        </w:rPr>
        <w:t>BENCHMARK BONDS Market News</w:t>
      </w:r>
    </w:p>
    <w:p>
      <w:pPr>
        <w:pStyle w:val="Normal"/>
        <w:jc w:val="both"/>
        <w:rPr>
          <w:rFonts w:ascii="Arial; Helvetica" w:hAnsi="Arial; Helvetica" w:cs="Arial; Helvetica"/>
          <w:b/>
          <w:sz w:val="22"/>
        </w:rPr>
      </w:pPr>
      <w:r>
        <w:rPr>
          <w:rFonts w:cs="Arial; Helvetica"/>
          <w:b/>
          <w:sz w:val="22"/>
        </w:rPr>
      </w:r>
    </w:p>
    <w:p>
      <w:pPr>
        <w:pStyle w:val="Heading2"/>
        <w:ind w:hanging="0" w:start="0"/>
        <w:rPr>
          <w:rFonts w:ascii="Arial; Helvetica" w:hAnsi="Arial; Helvetica" w:cs="Arial; Helvetica"/>
        </w:rPr>
      </w:pPr>
      <w:r>
        <w:rPr>
          <w:rFonts w:cs="Arial; Helvetica" w:ascii="Arial; Helvetica" w:hAnsi="Arial; Helvetica"/>
        </w:rPr>
        <w:t>US BONDS</w:t>
      </w:r>
    </w:p>
    <w:p>
      <w:pPr>
        <w:pStyle w:val="Normal"/>
        <w:jc w:val="both"/>
        <w:rPr>
          <w:rFonts w:ascii="Arial; Helvetica" w:hAnsi="Arial; Helvetica" w:cs="Arial; Helvetica"/>
          <w:sz w:val="22"/>
        </w:rPr>
      </w:pPr>
      <w:r>
        <w:rPr>
          <w:rFonts w:cs="Arial; Helvetica"/>
          <w:sz w:val="22"/>
        </w:rPr>
      </w:r>
    </w:p>
    <w:p>
      <w:pPr>
        <w:pStyle w:val="Normal"/>
        <w:jc w:val="both"/>
        <w:rPr>
          <w:sz w:val="22"/>
        </w:rPr>
      </w:pPr>
      <w:r>
        <w:rPr>
          <w:sz w:val="22"/>
        </w:rPr>
        <w:t xml:space="preserve">Treasurys finished mixed Thursday, with notes holding steady, but the long bond posting a modest advance amid more evidence that the economy is cooling to a more sustainable pace. </w:t>
      </w:r>
    </w:p>
    <w:p>
      <w:pPr>
        <w:pStyle w:val="Normal"/>
        <w:jc w:val="both"/>
        <w:rPr>
          <w:sz w:val="22"/>
        </w:rPr>
      </w:pPr>
      <w:r>
        <w:rPr>
          <w:sz w:val="22"/>
        </w:rPr>
      </w:r>
    </w:p>
    <w:p>
      <w:pPr>
        <w:pStyle w:val="Normal"/>
        <w:jc w:val="both"/>
        <w:rPr>
          <w:sz w:val="22"/>
        </w:rPr>
      </w:pPr>
      <w:r>
        <w:rPr>
          <w:sz w:val="22"/>
        </w:rPr>
        <w:t xml:space="preserve">The Commerce Department reported that orders for durable goods dropped 12.4% in July, the biggest monthly decline since 1958, when the department began tracking orders for big-ticket items meant to last at least three years. A jump in Treasurys following the report had the yield of the bellwether 10-year note as low as 5.69%, flirting with levels not seen since late July 1999. However, the market swiftly came off those highs, as traders locked in profits. </w:t>
      </w:r>
    </w:p>
    <w:p>
      <w:pPr>
        <w:pStyle w:val="Normal"/>
        <w:jc w:val="both"/>
        <w:rPr>
          <w:sz w:val="22"/>
        </w:rPr>
      </w:pPr>
      <w:r>
        <w:rPr>
          <w:sz w:val="22"/>
        </w:rPr>
      </w:r>
    </w:p>
    <w:p>
      <w:pPr>
        <w:pStyle w:val="Normal"/>
        <w:jc w:val="both"/>
        <w:rPr>
          <w:sz w:val="22"/>
        </w:rPr>
      </w:pPr>
      <w:r>
        <w:rPr>
          <w:sz w:val="22"/>
        </w:rPr>
        <w:t xml:space="preserve">Other participants said the bond market's mood generally remains upbeat following Tuesday's decision by Fed policy makers to hold interest rates steady, as they did in June. </w:t>
      </w:r>
    </w:p>
    <w:p>
      <w:pPr>
        <w:pStyle w:val="Normal"/>
        <w:jc w:val="both"/>
        <w:rPr>
          <w:sz w:val="22"/>
        </w:rPr>
      </w:pPr>
      <w:r>
        <w:rPr>
          <w:sz w:val="22"/>
        </w:rPr>
        <w:t xml:space="preserve">Minutes of the Federal Open Market Committee's June meeting, released Thursday afternoon, revealed that policy makers were becoming increasingly convinced of some slowing in the pace of economic activity. They unanimously agreed to hold rates steady. </w:t>
      </w:r>
    </w:p>
    <w:p>
      <w:pPr>
        <w:pStyle w:val="Normal"/>
        <w:jc w:val="both"/>
        <w:rPr>
          <w:sz w:val="22"/>
        </w:rPr>
      </w:pPr>
      <w:r>
        <w:rPr>
          <w:sz w:val="22"/>
        </w:rPr>
      </w:r>
    </w:p>
    <w:p>
      <w:pPr>
        <w:pStyle w:val="Normal"/>
        <w:jc w:val="both"/>
        <w:rPr>
          <w:sz w:val="22"/>
        </w:rPr>
      </w:pPr>
      <w:r>
        <w:rPr>
          <w:sz w:val="22"/>
        </w:rPr>
        <w:t>The long bond also received support from the government's continuing buyback program. Meanwhile, the number of Americans filing first-time claims for unemployment benefits rose last week for the fourth week in a row. The Labor Department said that jobless claims increased by 4,000 to 314,000 in the week ended Aug. 19. Analysts had expected an increase of 7,000 claims. Looking ahead to Friday, the Commerce Department makes its first revision of second-quarter gross domestic product. Analysts expect the revised estimate to remain at 5.2% following GDP growth of 4.8% in the first quarter. Also Friday, the National Association of Realtors will report on existing-home sales in July. Analysts expect home sales to have edged lower to a 5.2 million annual rate in July, just below June's 5.23 million level.</w:t>
      </w:r>
    </w:p>
    <w:p>
      <w:pPr>
        <w:pStyle w:val="Normal"/>
        <w:jc w:val="both"/>
        <w:rPr>
          <w:sz w:val="22"/>
        </w:rPr>
      </w:pPr>
      <w:r>
        <w:rPr>
          <w:sz w:val="22"/>
        </w:rPr>
      </w:r>
    </w:p>
    <w:p>
      <w:pPr>
        <w:pStyle w:val="Normal"/>
        <w:jc w:val="both"/>
        <w:rPr>
          <w:sz w:val="22"/>
        </w:rPr>
      </w:pPr>
      <w:r>
        <w:rPr>
          <w:sz w:val="22"/>
        </w:rPr>
        <w:t>2-year note</w:t>
        <w:tab/>
        <w:t>+1/32</w:t>
        <w:tab/>
        <w:t>99 29/32</w:t>
        <w:tab/>
        <w:t>6.176%</w:t>
      </w:r>
    </w:p>
    <w:p>
      <w:pPr>
        <w:pStyle w:val="Normal"/>
        <w:jc w:val="both"/>
        <w:rPr>
          <w:sz w:val="22"/>
        </w:rPr>
      </w:pPr>
      <w:r>
        <w:rPr>
          <w:sz w:val="22"/>
        </w:rPr>
        <w:t>10-year</w:t>
        <w:tab/>
        <w:t>+1/32</w:t>
        <w:tab/>
        <w:t>100 7/32</w:t>
        <w:tab/>
        <w:t>5.712%</w:t>
      </w:r>
    </w:p>
    <w:p>
      <w:pPr>
        <w:pStyle w:val="Normal"/>
        <w:jc w:val="both"/>
        <w:rPr>
          <w:sz w:val="22"/>
        </w:rPr>
      </w:pPr>
      <w:r>
        <w:rPr>
          <w:sz w:val="22"/>
        </w:rPr>
        <w:t>30-year</w:t>
        <w:tab/>
        <w:t>+9/32</w:t>
        <w:tab/>
        <w:t>108 15/32</w:t>
        <w:tab/>
        <w:t>5.653%</w:t>
      </w:r>
    </w:p>
    <w:p>
      <w:pPr>
        <w:pStyle w:val="Normal"/>
        <w:jc w:val="both"/>
        <w:rPr>
          <w:sz w:val="22"/>
        </w:rPr>
      </w:pPr>
      <w:r>
        <w:rPr>
          <w:sz w:val="22"/>
        </w:rPr>
      </w:r>
    </w:p>
    <w:p>
      <w:pPr>
        <w:pStyle w:val="Heading2"/>
        <w:ind w:hanging="0" w:start="0"/>
        <w:rPr>
          <w:rFonts w:ascii="Arial; Helvetica" w:hAnsi="Arial; Helvetica" w:cs="Arial; Helvetica"/>
        </w:rPr>
      </w:pPr>
      <w:r>
        <w:rPr>
          <w:rFonts w:cs="Arial; Helvetica" w:ascii="Arial; Helvetica" w:hAnsi="Arial; Helvetica"/>
        </w:rPr>
        <w:t>UK GILTS</w:t>
      </w:r>
    </w:p>
    <w:p>
      <w:pPr>
        <w:pStyle w:val="Normal"/>
        <w:jc w:val="both"/>
        <w:rPr>
          <w:rFonts w:ascii="Arial; Helvetica" w:hAnsi="Arial; Helvetica" w:cs="Arial; Helvetica"/>
          <w:color w:val="000000"/>
          <w:sz w:val="22"/>
        </w:rPr>
      </w:pPr>
      <w:r>
        <w:rPr>
          <w:rFonts w:cs="Arial; Helvetica"/>
          <w:color w:val="000000"/>
          <w:sz w:val="22"/>
        </w:rPr>
      </w:r>
    </w:p>
    <w:p>
      <w:pPr>
        <w:pStyle w:val="Normal"/>
        <w:jc w:val="both"/>
        <w:rPr>
          <w:color w:val="000000"/>
          <w:sz w:val="22"/>
        </w:rPr>
      </w:pPr>
      <w:r>
        <w:rPr>
          <w:color w:val="000000"/>
          <w:sz w:val="22"/>
        </w:rPr>
        <w:t xml:space="preserve">U.K. bonds may rise, pushing the two-year gilt yield to a twelve-day low, amid expectations subdued inflation will prompt policy-makers to leave interest rates on hold in coming weeks. Gilts performed worse than European bonds as investors demanded a premium to buy gilts over European bonds for a 20th day yesterday, the longest uninterrupted period since February. Longer dated European bonds rallied in recent weeks as investors anticipated the proceeds from the sale of mobile phone licenses may be used to pay down longer-dated debt. </w:t>
      </w:r>
    </w:p>
    <w:p>
      <w:pPr>
        <w:pStyle w:val="Normal"/>
        <w:jc w:val="both"/>
        <w:rPr>
          <w:color w:val="000000"/>
          <w:sz w:val="22"/>
        </w:rPr>
      </w:pPr>
      <w:r>
        <w:rPr>
          <w:color w:val="000000"/>
          <w:sz w:val="22"/>
        </w:rPr>
      </w:r>
    </w:p>
    <w:p>
      <w:pPr>
        <w:pStyle w:val="Normal"/>
        <w:jc w:val="both"/>
        <w:rPr>
          <w:color w:val="000000"/>
          <w:sz w:val="22"/>
        </w:rPr>
      </w:pPr>
      <w:r>
        <w:rPr>
          <w:color w:val="000000"/>
          <w:sz w:val="22"/>
        </w:rPr>
        <w:t xml:space="preserve">The Bank of England has kept the benchmark cost of borrowing at 6 percent since February. Investors probably won't make big bets ahead of U.S. gross domestic product figures, due 1:30 p.m. London time. The government will probably raise its estimate of second-quarter growth to 5.4 percent from the 5.2 percent. The U.K. economy expanded 3.1 percent in the second quarter from a year earlier, compared with 3 percent in the first quarter, as consumers in Europe's second-largest economy stepped up spending. </w:t>
      </w:r>
    </w:p>
    <w:p>
      <w:pPr>
        <w:pStyle w:val="Normal"/>
        <w:jc w:val="both"/>
        <w:rPr>
          <w:color w:val="000000"/>
          <w:sz w:val="22"/>
        </w:rPr>
      </w:pPr>
      <w:r>
        <w:rPr>
          <w:color w:val="000000"/>
          <w:sz w:val="22"/>
        </w:rPr>
      </w:r>
    </w:p>
    <w:p>
      <w:pPr>
        <w:pStyle w:val="Normal"/>
        <w:jc w:val="both"/>
        <w:rPr>
          <w:color w:val="000000"/>
          <w:sz w:val="22"/>
        </w:rPr>
      </w:pPr>
      <w:r>
        <w:rPr>
          <w:color w:val="000000"/>
          <w:sz w:val="22"/>
        </w:rPr>
        <w:t xml:space="preserve">2-year gilt </w:t>
        <w:tab/>
        <w:t xml:space="preserve">–0.02 </w:t>
        <w:tab/>
        <w:t xml:space="preserve">5.98% </w:t>
      </w:r>
    </w:p>
    <w:p>
      <w:pPr>
        <w:pStyle w:val="Normal"/>
        <w:jc w:val="both"/>
        <w:rPr>
          <w:color w:val="000000"/>
          <w:sz w:val="22"/>
        </w:rPr>
      </w:pPr>
      <w:r>
        <w:rPr>
          <w:color w:val="000000"/>
          <w:sz w:val="22"/>
        </w:rPr>
        <w:t xml:space="preserve">10-year gilt </w:t>
        <w:tab/>
        <w:t>–0.04</w:t>
        <w:tab/>
        <w:t>5.25%</w:t>
      </w:r>
    </w:p>
    <w:p>
      <w:pPr>
        <w:pStyle w:val="Heading2"/>
        <w:ind w:hanging="0" w:start="0"/>
        <w:rPr>
          <w:rFonts w:ascii="Arial; Helvetica" w:hAnsi="Arial; Helvetica" w:cs="Arial; Helvetica"/>
          <w:color w:val="000000"/>
          <w:sz w:val="22"/>
          <w:u w:val="single"/>
        </w:rPr>
      </w:pPr>
      <w:r>
        <w:rPr>
          <w:rFonts w:cs="Arial; Helvetica" w:ascii="Arial; Helvetica" w:hAnsi="Arial; Helvetica"/>
          <w:color w:val="000000"/>
          <w:sz w:val="22"/>
          <w:u w:val="single"/>
        </w:rPr>
      </w:r>
      <w:r>
        <w:br w:type="page"/>
      </w:r>
    </w:p>
    <w:p>
      <w:pPr>
        <w:pStyle w:val="Heading2"/>
        <w:ind w:hanging="0" w:start="0"/>
        <w:rPr>
          <w:rFonts w:ascii="Arial; Helvetica" w:hAnsi="Arial; Helvetica" w:cs="Arial; Helvetica"/>
          <w:u w:val="single"/>
        </w:rPr>
      </w:pPr>
      <w:r>
        <w:rPr>
          <w:rFonts w:cs="Arial; Helvetica" w:ascii="Arial; Helvetica" w:hAnsi="Arial; Helvetica"/>
          <w:u w:val="single"/>
        </w:rPr>
      </w:r>
    </w:p>
    <w:p>
      <w:pPr>
        <w:pStyle w:val="Heading2"/>
        <w:ind w:hanging="0" w:start="0"/>
        <w:rPr>
          <w:rFonts w:ascii="Arial; Helvetica" w:hAnsi="Arial; Helvetica" w:cs="Arial; Helvetica"/>
          <w:u w:val="single"/>
        </w:rPr>
      </w:pPr>
      <w:r>
        <w:rPr>
          <w:rFonts w:cs="Arial; Helvetica" w:ascii="Arial; Helvetica" w:hAnsi="Arial; Helvetica"/>
          <w:u w:val="single"/>
        </w:rPr>
        <w:t>FX &amp; INTEREST RATES Market News</w:t>
      </w:r>
    </w:p>
    <w:p>
      <w:pPr>
        <w:pStyle w:val="BodyText2"/>
        <w:spacing w:lineRule="auto" w:line="240"/>
        <w:rPr>
          <w:rFonts w:ascii="Arial; Helvetica" w:hAnsi="Arial; Helvetica" w:cs="Arial; Helvetica"/>
          <w:u w:val="single"/>
          <w:lang w:val="en-US" w:eastAsia="en-CA"/>
        </w:rPr>
      </w:pPr>
      <w:r>
        <w:rPr>
          <w:rFonts w:cs="Arial; Helvetica" w:ascii="Arial; Helvetica" w:hAnsi="Arial; Helvetica"/>
          <w:u w:val="single"/>
          <w:lang w:val="en-US" w:eastAsia="en-CA"/>
        </w:rPr>
      </w:r>
    </w:p>
    <w:p>
      <w:pPr>
        <w:pStyle w:val="Normal"/>
        <w:numPr>
          <w:ilvl w:val="0"/>
          <w:numId w:val="7"/>
        </w:numPr>
        <w:jc w:val="both"/>
        <w:rPr>
          <w:sz w:val="22"/>
        </w:rPr>
      </w:pPr>
      <w:r>
        <w:rPr>
          <w:sz w:val="22"/>
        </w:rPr>
        <w:t xml:space="preserve">The dollar slipped against the euro and yen Thursday, pulled down by a sharper-than-expected drop in volatile U.S. durable-goods orders. </w:t>
      </w:r>
    </w:p>
    <w:p>
      <w:pPr>
        <w:pStyle w:val="Normal"/>
        <w:jc w:val="both"/>
        <w:rPr>
          <w:sz w:val="22"/>
        </w:rPr>
      </w:pPr>
      <w:r>
        <w:rPr>
          <w:sz w:val="22"/>
        </w:rPr>
      </w:r>
    </w:p>
    <w:p>
      <w:pPr>
        <w:pStyle w:val="BodyText2"/>
        <w:numPr>
          <w:ilvl w:val="0"/>
          <w:numId w:val="3"/>
        </w:numPr>
        <w:spacing w:lineRule="auto" w:line="240"/>
        <w:rPr>
          <w:rFonts w:ascii="Arial; Helvetica" w:hAnsi="Arial; Helvetica" w:cs="Arial; Helvetica"/>
        </w:rPr>
      </w:pPr>
      <w:r>
        <w:rPr>
          <w:rFonts w:cs="Arial; Helvetica" w:ascii="Arial; Helvetica" w:hAnsi="Arial; Helvetica"/>
        </w:rPr>
        <w:t xml:space="preserve">The British pound approached a three-month low against the dollar on growing speculation that U.K. interest rates may be near a peak. No major U.K. economic reports are due today. The Bank of England has kept key rates unchanged since February amid a steady stream of evidence that inflation remains tame. </w:t>
      </w:r>
    </w:p>
    <w:p>
      <w:pPr>
        <w:pStyle w:val="BodyText2"/>
        <w:spacing w:lineRule="auto" w:line="240"/>
        <w:rPr>
          <w:rFonts w:ascii="Arial; Helvetica" w:hAnsi="Arial; Helvetica" w:cs="Arial; Helvetica"/>
        </w:rPr>
      </w:pPr>
      <w:r>
        <w:rPr>
          <w:rFonts w:cs="Arial; Helvetica" w:ascii="Arial; Helvetica" w:hAnsi="Arial; Helvetica"/>
        </w:rPr>
      </w:r>
    </w:p>
    <w:p>
      <w:pPr>
        <w:pStyle w:val="Normal"/>
        <w:numPr>
          <w:ilvl w:val="0"/>
          <w:numId w:val="4"/>
        </w:numPr>
        <w:jc w:val="both"/>
        <w:rPr>
          <w:color w:val="000000"/>
          <w:sz w:val="22"/>
        </w:rPr>
      </w:pPr>
      <w:r>
        <w:rPr>
          <w:color w:val="000000"/>
          <w:sz w:val="22"/>
        </w:rPr>
        <w:t xml:space="preserve">The U.K. currency flagged against the euro yesterday after a German report showed a bigger-than-expected gain in producer prices last month, stoking expectations the European Central Bank will raise interest rates in coming weeks to cap inflation. </w:t>
      </w:r>
    </w:p>
    <w:p>
      <w:pPr>
        <w:pStyle w:val="Normal"/>
        <w:jc w:val="both"/>
        <w:rPr>
          <w:color w:val="000000"/>
          <w:sz w:val="22"/>
        </w:rPr>
      </w:pPr>
      <w:r>
        <w:rPr>
          <w:color w:val="000000"/>
          <w:sz w:val="22"/>
        </w:rPr>
      </w:r>
    </w:p>
    <w:tbl>
      <w:tblPr>
        <w:tblW w:w="6970" w:type="dxa"/>
        <w:jc w:val="start"/>
        <w:tblInd w:w="456" w:type="dxa"/>
        <w:tblLayout w:type="fixed"/>
        <w:tblCellMar>
          <w:top w:w="0" w:type="dxa"/>
          <w:start w:w="30" w:type="dxa"/>
          <w:bottom w:w="0" w:type="dxa"/>
          <w:end w:w="30" w:type="dxa"/>
        </w:tblCellMar>
      </w:tblPr>
      <w:tblGrid>
        <w:gridCol w:w="1010"/>
        <w:gridCol w:w="2854"/>
        <w:gridCol w:w="1056"/>
        <w:gridCol w:w="1025"/>
        <w:gridCol w:w="1025"/>
      </w:tblGrid>
      <w:tr>
        <w:trPr>
          <w:trHeight w:val="247" w:hRule="atLeast"/>
        </w:trPr>
        <w:tc>
          <w:tcPr>
            <w:tcW w:w="1010" w:type="dxa"/>
            <w:tcBorders/>
          </w:tcPr>
          <w:p>
            <w:pPr>
              <w:pStyle w:val="Normal"/>
              <w:snapToGrid w:val="false"/>
              <w:jc w:val="end"/>
              <w:rPr>
                <w:color w:val="000000"/>
                <w:sz w:val="20"/>
                <w:lang w:val="en-AU" w:eastAsia="en-US"/>
              </w:rPr>
            </w:pPr>
            <w:r>
              <w:rPr>
                <w:color w:val="000000"/>
                <w:sz w:val="20"/>
                <w:lang w:val="en-AU" w:eastAsia="en-US"/>
              </w:rPr>
            </w:r>
          </w:p>
        </w:tc>
        <w:tc>
          <w:tcPr>
            <w:tcW w:w="2854" w:type="dxa"/>
            <w:tcBorders/>
          </w:tcPr>
          <w:p>
            <w:pPr>
              <w:pStyle w:val="Normal"/>
              <w:snapToGrid w:val="false"/>
              <w:jc w:val="end"/>
              <w:rPr>
                <w:color w:val="000000"/>
                <w:sz w:val="20"/>
                <w:lang w:val="en-AU" w:eastAsia="en-US"/>
              </w:rPr>
            </w:pPr>
            <w:r>
              <w:rPr>
                <w:color w:val="000000"/>
                <w:sz w:val="20"/>
                <w:lang w:val="en-AU" w:eastAsia="en-US"/>
              </w:rPr>
            </w:r>
          </w:p>
        </w:tc>
        <w:tc>
          <w:tcPr>
            <w:tcW w:w="1056" w:type="dxa"/>
            <w:tcBorders/>
          </w:tcPr>
          <w:p>
            <w:pPr>
              <w:pStyle w:val="Normal"/>
              <w:jc w:val="end"/>
              <w:rPr>
                <w:color w:val="000000"/>
                <w:sz w:val="20"/>
                <w:lang w:val="en-AU" w:eastAsia="en-US"/>
              </w:rPr>
            </w:pPr>
            <w:r>
              <w:rPr>
                <w:color w:val="000000"/>
                <w:sz w:val="20"/>
                <w:lang w:val="en-AU" w:eastAsia="en-US"/>
              </w:rPr>
              <w:t>USD</w:t>
            </w:r>
          </w:p>
        </w:tc>
        <w:tc>
          <w:tcPr>
            <w:tcW w:w="1025" w:type="dxa"/>
            <w:tcBorders/>
          </w:tcPr>
          <w:p>
            <w:pPr>
              <w:pStyle w:val="Normal"/>
              <w:jc w:val="end"/>
              <w:rPr>
                <w:color w:val="000000"/>
                <w:sz w:val="20"/>
                <w:lang w:val="en-AU" w:eastAsia="en-US"/>
              </w:rPr>
            </w:pPr>
            <w:r>
              <w:rPr>
                <w:color w:val="000000"/>
                <w:sz w:val="20"/>
                <w:lang w:val="en-AU" w:eastAsia="en-US"/>
              </w:rPr>
              <w:t>GBP</w:t>
            </w:r>
          </w:p>
        </w:tc>
        <w:tc>
          <w:tcPr>
            <w:tcW w:w="1025" w:type="dxa"/>
            <w:tcBorders/>
          </w:tcPr>
          <w:p>
            <w:pPr>
              <w:pStyle w:val="Normal"/>
              <w:jc w:val="end"/>
              <w:rPr>
                <w:color w:val="000000"/>
                <w:sz w:val="20"/>
                <w:lang w:val="en-AU" w:eastAsia="en-US"/>
              </w:rPr>
            </w:pPr>
            <w:r>
              <w:rPr>
                <w:color w:val="000000"/>
                <w:sz w:val="20"/>
                <w:lang w:val="en-AU" w:eastAsia="en-US"/>
              </w:rPr>
              <w:t>EUR</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GBP</w:t>
            </w:r>
          </w:p>
        </w:tc>
        <w:tc>
          <w:tcPr>
            <w:tcW w:w="2854" w:type="dxa"/>
            <w:tcBorders/>
          </w:tcPr>
          <w:p>
            <w:pPr>
              <w:pStyle w:val="Normal"/>
              <w:rPr>
                <w:color w:val="000000"/>
                <w:sz w:val="20"/>
                <w:lang w:val="en-AU" w:eastAsia="en-US"/>
              </w:rPr>
            </w:pPr>
            <w:r>
              <w:rPr>
                <w:color w:val="000000"/>
                <w:sz w:val="20"/>
                <w:lang w:val="en-AU" w:eastAsia="en-US"/>
              </w:rPr>
              <w:t>STERLING</w:t>
            </w:r>
          </w:p>
        </w:tc>
        <w:tc>
          <w:tcPr>
            <w:tcW w:w="1056" w:type="dxa"/>
            <w:tcBorders/>
          </w:tcPr>
          <w:p>
            <w:pPr>
              <w:pStyle w:val="Normal"/>
              <w:jc w:val="end"/>
              <w:rPr>
                <w:color w:val="000000"/>
                <w:sz w:val="20"/>
                <w:lang w:val="en-AU" w:eastAsia="en-US"/>
              </w:rPr>
            </w:pPr>
            <w:r>
              <w:rPr>
                <w:color w:val="000000"/>
                <w:sz w:val="20"/>
                <w:lang w:val="en-AU" w:eastAsia="en-US"/>
              </w:rPr>
              <w:t>1.482</w:t>
            </w:r>
          </w:p>
        </w:tc>
        <w:tc>
          <w:tcPr>
            <w:tcW w:w="1025" w:type="dxa"/>
            <w:tcBorders/>
          </w:tcPr>
          <w:p>
            <w:pPr>
              <w:pStyle w:val="Normal"/>
              <w:snapToGrid w:val="false"/>
              <w:jc w:val="end"/>
              <w:rPr>
                <w:color w:val="000000"/>
                <w:sz w:val="20"/>
                <w:lang w:val="en-AU" w:eastAsia="en-US"/>
              </w:rPr>
            </w:pPr>
            <w:r>
              <w:rPr>
                <w:color w:val="000000"/>
                <w:sz w:val="20"/>
                <w:lang w:val="en-AU" w:eastAsia="en-US"/>
              </w:rPr>
            </w:r>
          </w:p>
        </w:tc>
        <w:tc>
          <w:tcPr>
            <w:tcW w:w="1025" w:type="dxa"/>
            <w:tcBorders/>
          </w:tcPr>
          <w:p>
            <w:pPr>
              <w:pStyle w:val="Normal"/>
              <w:jc w:val="end"/>
              <w:rPr>
                <w:color w:val="000000"/>
                <w:sz w:val="20"/>
                <w:lang w:val="en-AU" w:eastAsia="en-US"/>
              </w:rPr>
            </w:pPr>
            <w:r>
              <w:rPr>
                <w:color w:val="000000"/>
                <w:sz w:val="20"/>
                <w:lang w:val="en-AU" w:eastAsia="en-US"/>
              </w:rPr>
              <w:t>1.641</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EUR</w:t>
            </w:r>
          </w:p>
        </w:tc>
        <w:tc>
          <w:tcPr>
            <w:tcW w:w="2854" w:type="dxa"/>
            <w:tcBorders/>
          </w:tcPr>
          <w:p>
            <w:pPr>
              <w:pStyle w:val="Normal"/>
              <w:rPr>
                <w:color w:val="000000"/>
                <w:sz w:val="20"/>
                <w:lang w:val="en-AU" w:eastAsia="en-US"/>
              </w:rPr>
            </w:pPr>
            <w:r>
              <w:rPr>
                <w:color w:val="000000"/>
                <w:sz w:val="20"/>
                <w:lang w:val="en-AU" w:eastAsia="en-US"/>
              </w:rPr>
              <w:t>EURO</w:t>
            </w:r>
          </w:p>
        </w:tc>
        <w:tc>
          <w:tcPr>
            <w:tcW w:w="1056" w:type="dxa"/>
            <w:tcBorders/>
          </w:tcPr>
          <w:p>
            <w:pPr>
              <w:pStyle w:val="Normal"/>
              <w:jc w:val="end"/>
              <w:rPr>
                <w:color w:val="000000"/>
                <w:sz w:val="20"/>
                <w:lang w:val="en-AU" w:eastAsia="en-US"/>
              </w:rPr>
            </w:pPr>
            <w:r>
              <w:rPr>
                <w:color w:val="000000"/>
                <w:sz w:val="20"/>
                <w:lang w:val="en-AU" w:eastAsia="en-US"/>
              </w:rPr>
              <w:t>0.903</w:t>
            </w:r>
          </w:p>
        </w:tc>
        <w:tc>
          <w:tcPr>
            <w:tcW w:w="1025" w:type="dxa"/>
            <w:tcBorders/>
          </w:tcPr>
          <w:p>
            <w:pPr>
              <w:pStyle w:val="Normal"/>
              <w:jc w:val="end"/>
              <w:rPr>
                <w:color w:val="000000"/>
                <w:sz w:val="20"/>
                <w:lang w:val="en-AU" w:eastAsia="en-US"/>
              </w:rPr>
            </w:pPr>
            <w:r>
              <w:rPr>
                <w:color w:val="000000"/>
                <w:sz w:val="20"/>
                <w:lang w:val="en-AU" w:eastAsia="en-US"/>
              </w:rPr>
              <w:t>0.609</w:t>
            </w:r>
          </w:p>
        </w:tc>
        <w:tc>
          <w:tcPr>
            <w:tcW w:w="1025" w:type="dxa"/>
            <w:tcBorders/>
          </w:tcPr>
          <w:p>
            <w:pPr>
              <w:pStyle w:val="Normal"/>
              <w:snapToGrid w:val="false"/>
              <w:jc w:val="end"/>
              <w:rPr>
                <w:color w:val="000000"/>
                <w:sz w:val="20"/>
                <w:lang w:val="en-AU" w:eastAsia="en-US"/>
              </w:rPr>
            </w:pPr>
            <w:r>
              <w:rPr>
                <w:color w:val="000000"/>
                <w:sz w:val="20"/>
                <w:lang w:val="en-AU" w:eastAsia="en-US"/>
              </w:rPr>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ATS</w:t>
            </w:r>
          </w:p>
        </w:tc>
        <w:tc>
          <w:tcPr>
            <w:tcW w:w="2854" w:type="dxa"/>
            <w:tcBorders/>
          </w:tcPr>
          <w:p>
            <w:pPr>
              <w:pStyle w:val="Normal"/>
              <w:rPr>
                <w:color w:val="000000"/>
                <w:sz w:val="20"/>
                <w:lang w:val="en-AU" w:eastAsia="en-US"/>
              </w:rPr>
            </w:pPr>
            <w:r>
              <w:rPr>
                <w:color w:val="000000"/>
                <w:sz w:val="20"/>
                <w:lang w:val="en-AU" w:eastAsia="en-US"/>
              </w:rPr>
              <w:t>AUSTRIAN SCHILLING</w:t>
            </w:r>
          </w:p>
        </w:tc>
        <w:tc>
          <w:tcPr>
            <w:tcW w:w="1056" w:type="dxa"/>
            <w:tcBorders/>
          </w:tcPr>
          <w:p>
            <w:pPr>
              <w:pStyle w:val="Normal"/>
              <w:jc w:val="end"/>
              <w:rPr>
                <w:color w:val="000000"/>
                <w:sz w:val="20"/>
                <w:lang w:val="en-AU" w:eastAsia="en-US"/>
              </w:rPr>
            </w:pPr>
            <w:r>
              <w:rPr>
                <w:color w:val="000000"/>
                <w:sz w:val="20"/>
                <w:lang w:val="en-AU" w:eastAsia="en-US"/>
              </w:rPr>
              <w:t>0.066</w:t>
            </w:r>
          </w:p>
        </w:tc>
        <w:tc>
          <w:tcPr>
            <w:tcW w:w="1025" w:type="dxa"/>
            <w:tcBorders/>
          </w:tcPr>
          <w:p>
            <w:pPr>
              <w:pStyle w:val="Normal"/>
              <w:jc w:val="end"/>
              <w:rPr>
                <w:color w:val="000000"/>
                <w:sz w:val="20"/>
                <w:lang w:val="en-AU" w:eastAsia="en-US"/>
              </w:rPr>
            </w:pPr>
            <w:r>
              <w:rPr>
                <w:color w:val="000000"/>
                <w:sz w:val="20"/>
                <w:lang w:val="en-AU" w:eastAsia="en-US"/>
              </w:rPr>
              <w:t>0.044</w:t>
            </w:r>
          </w:p>
        </w:tc>
        <w:tc>
          <w:tcPr>
            <w:tcW w:w="1025" w:type="dxa"/>
            <w:tcBorders/>
          </w:tcPr>
          <w:p>
            <w:pPr>
              <w:pStyle w:val="Normal"/>
              <w:jc w:val="end"/>
              <w:rPr>
                <w:color w:val="000000"/>
                <w:sz w:val="20"/>
                <w:lang w:val="en-AU" w:eastAsia="en-US"/>
              </w:rPr>
            </w:pPr>
            <w:r>
              <w:rPr>
                <w:color w:val="000000"/>
                <w:sz w:val="20"/>
                <w:lang w:val="en-AU" w:eastAsia="en-US"/>
              </w:rPr>
              <w:t>0.073</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BEF</w:t>
            </w:r>
          </w:p>
        </w:tc>
        <w:tc>
          <w:tcPr>
            <w:tcW w:w="2854" w:type="dxa"/>
            <w:tcBorders/>
          </w:tcPr>
          <w:p>
            <w:pPr>
              <w:pStyle w:val="Normal"/>
              <w:rPr>
                <w:color w:val="000000"/>
                <w:sz w:val="20"/>
                <w:lang w:val="en-AU" w:eastAsia="en-US"/>
              </w:rPr>
            </w:pPr>
            <w:r>
              <w:rPr>
                <w:color w:val="000000"/>
                <w:sz w:val="20"/>
                <w:lang w:val="en-AU" w:eastAsia="en-US"/>
              </w:rPr>
              <w:t>BELGIAN FRANC</w:t>
            </w:r>
          </w:p>
        </w:tc>
        <w:tc>
          <w:tcPr>
            <w:tcW w:w="1056" w:type="dxa"/>
            <w:tcBorders/>
          </w:tcPr>
          <w:p>
            <w:pPr>
              <w:pStyle w:val="Normal"/>
              <w:jc w:val="end"/>
              <w:rPr>
                <w:color w:val="000000"/>
                <w:sz w:val="20"/>
                <w:lang w:val="en-AU" w:eastAsia="en-US"/>
              </w:rPr>
            </w:pPr>
            <w:r>
              <w:rPr>
                <w:color w:val="000000"/>
                <w:sz w:val="20"/>
                <w:lang w:val="en-AU" w:eastAsia="en-US"/>
              </w:rPr>
              <w:t>0.022</w:t>
            </w:r>
          </w:p>
        </w:tc>
        <w:tc>
          <w:tcPr>
            <w:tcW w:w="1025" w:type="dxa"/>
            <w:tcBorders/>
          </w:tcPr>
          <w:p>
            <w:pPr>
              <w:pStyle w:val="Normal"/>
              <w:jc w:val="end"/>
              <w:rPr>
                <w:color w:val="000000"/>
                <w:sz w:val="20"/>
                <w:lang w:val="en-AU" w:eastAsia="en-US"/>
              </w:rPr>
            </w:pPr>
            <w:r>
              <w:rPr>
                <w:color w:val="000000"/>
                <w:sz w:val="20"/>
                <w:lang w:val="en-AU" w:eastAsia="en-US"/>
              </w:rPr>
              <w:t>0.015</w:t>
            </w:r>
          </w:p>
        </w:tc>
        <w:tc>
          <w:tcPr>
            <w:tcW w:w="1025" w:type="dxa"/>
            <w:tcBorders/>
          </w:tcPr>
          <w:p>
            <w:pPr>
              <w:pStyle w:val="Normal"/>
              <w:jc w:val="end"/>
              <w:rPr>
                <w:color w:val="000000"/>
                <w:sz w:val="20"/>
                <w:lang w:val="en-AU" w:eastAsia="en-US"/>
              </w:rPr>
            </w:pPr>
            <w:r>
              <w:rPr>
                <w:color w:val="000000"/>
                <w:sz w:val="20"/>
                <w:lang w:val="en-AU" w:eastAsia="en-US"/>
              </w:rPr>
              <w:t>0.025</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DKK</w:t>
            </w:r>
          </w:p>
        </w:tc>
        <w:tc>
          <w:tcPr>
            <w:tcW w:w="2854" w:type="dxa"/>
            <w:tcBorders/>
          </w:tcPr>
          <w:p>
            <w:pPr>
              <w:pStyle w:val="Normal"/>
              <w:rPr>
                <w:color w:val="000000"/>
                <w:sz w:val="20"/>
                <w:lang w:val="en-AU" w:eastAsia="en-US"/>
              </w:rPr>
            </w:pPr>
            <w:r>
              <w:rPr>
                <w:color w:val="000000"/>
                <w:sz w:val="20"/>
                <w:lang w:val="en-AU" w:eastAsia="en-US"/>
              </w:rPr>
              <w:t xml:space="preserve">DANISH KRONE </w:t>
            </w:r>
          </w:p>
        </w:tc>
        <w:tc>
          <w:tcPr>
            <w:tcW w:w="1056" w:type="dxa"/>
            <w:tcBorders/>
          </w:tcPr>
          <w:p>
            <w:pPr>
              <w:pStyle w:val="Normal"/>
              <w:jc w:val="end"/>
              <w:rPr>
                <w:color w:val="000000"/>
                <w:sz w:val="20"/>
                <w:lang w:val="en-AU" w:eastAsia="en-US"/>
              </w:rPr>
            </w:pPr>
            <w:r>
              <w:rPr>
                <w:color w:val="000000"/>
                <w:sz w:val="20"/>
                <w:lang w:val="en-AU" w:eastAsia="en-US"/>
              </w:rPr>
              <w:t>0.121</w:t>
            </w:r>
          </w:p>
        </w:tc>
        <w:tc>
          <w:tcPr>
            <w:tcW w:w="1025" w:type="dxa"/>
            <w:tcBorders/>
          </w:tcPr>
          <w:p>
            <w:pPr>
              <w:pStyle w:val="Normal"/>
              <w:jc w:val="end"/>
              <w:rPr>
                <w:color w:val="000000"/>
                <w:sz w:val="20"/>
                <w:lang w:val="en-AU" w:eastAsia="en-US"/>
              </w:rPr>
            </w:pPr>
            <w:r>
              <w:rPr>
                <w:color w:val="000000"/>
                <w:sz w:val="20"/>
                <w:lang w:val="en-AU" w:eastAsia="en-US"/>
              </w:rPr>
              <w:t>0.082</w:t>
            </w:r>
          </w:p>
        </w:tc>
        <w:tc>
          <w:tcPr>
            <w:tcW w:w="1025" w:type="dxa"/>
            <w:tcBorders/>
          </w:tcPr>
          <w:p>
            <w:pPr>
              <w:pStyle w:val="Normal"/>
              <w:jc w:val="end"/>
              <w:rPr>
                <w:color w:val="000000"/>
                <w:sz w:val="20"/>
                <w:lang w:val="en-AU" w:eastAsia="en-US"/>
              </w:rPr>
            </w:pPr>
            <w:r>
              <w:rPr>
                <w:color w:val="000000"/>
                <w:sz w:val="20"/>
                <w:lang w:val="en-AU" w:eastAsia="en-US"/>
              </w:rPr>
              <w:t>0.134</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NLG</w:t>
            </w:r>
          </w:p>
        </w:tc>
        <w:tc>
          <w:tcPr>
            <w:tcW w:w="2854" w:type="dxa"/>
            <w:tcBorders/>
          </w:tcPr>
          <w:p>
            <w:pPr>
              <w:pStyle w:val="Normal"/>
              <w:rPr>
                <w:color w:val="000000"/>
                <w:sz w:val="20"/>
                <w:lang w:val="en-AU" w:eastAsia="en-US"/>
              </w:rPr>
            </w:pPr>
            <w:r>
              <w:rPr>
                <w:color w:val="000000"/>
                <w:sz w:val="20"/>
                <w:lang w:val="en-AU" w:eastAsia="en-US"/>
              </w:rPr>
              <w:t xml:space="preserve">DUTCH GUILDER </w:t>
            </w:r>
          </w:p>
        </w:tc>
        <w:tc>
          <w:tcPr>
            <w:tcW w:w="1056" w:type="dxa"/>
            <w:tcBorders/>
          </w:tcPr>
          <w:p>
            <w:pPr>
              <w:pStyle w:val="Normal"/>
              <w:jc w:val="end"/>
              <w:rPr>
                <w:color w:val="000000"/>
                <w:sz w:val="20"/>
                <w:lang w:val="en-AU" w:eastAsia="en-US"/>
              </w:rPr>
            </w:pPr>
            <w:r>
              <w:rPr>
                <w:color w:val="000000"/>
                <w:sz w:val="20"/>
                <w:lang w:val="en-AU" w:eastAsia="en-US"/>
              </w:rPr>
              <w:t>0.410</w:t>
            </w:r>
          </w:p>
        </w:tc>
        <w:tc>
          <w:tcPr>
            <w:tcW w:w="1025" w:type="dxa"/>
            <w:tcBorders/>
          </w:tcPr>
          <w:p>
            <w:pPr>
              <w:pStyle w:val="Normal"/>
              <w:jc w:val="end"/>
              <w:rPr>
                <w:color w:val="000000"/>
                <w:sz w:val="20"/>
                <w:lang w:val="en-AU" w:eastAsia="en-US"/>
              </w:rPr>
            </w:pPr>
            <w:r>
              <w:rPr>
                <w:color w:val="000000"/>
                <w:sz w:val="20"/>
                <w:lang w:val="en-AU" w:eastAsia="en-US"/>
              </w:rPr>
              <w:t>0.277</w:t>
            </w:r>
          </w:p>
        </w:tc>
        <w:tc>
          <w:tcPr>
            <w:tcW w:w="1025" w:type="dxa"/>
            <w:tcBorders/>
          </w:tcPr>
          <w:p>
            <w:pPr>
              <w:pStyle w:val="Normal"/>
              <w:jc w:val="end"/>
              <w:rPr>
                <w:color w:val="000000"/>
                <w:sz w:val="20"/>
                <w:lang w:val="en-AU" w:eastAsia="en-US"/>
              </w:rPr>
            </w:pPr>
            <w:r>
              <w:rPr>
                <w:color w:val="000000"/>
                <w:sz w:val="20"/>
                <w:lang w:val="en-AU" w:eastAsia="en-US"/>
              </w:rPr>
              <w:t>0.454</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FIM</w:t>
            </w:r>
          </w:p>
        </w:tc>
        <w:tc>
          <w:tcPr>
            <w:tcW w:w="2854" w:type="dxa"/>
            <w:tcBorders/>
          </w:tcPr>
          <w:p>
            <w:pPr>
              <w:pStyle w:val="Normal"/>
              <w:rPr>
                <w:color w:val="000000"/>
                <w:sz w:val="20"/>
                <w:lang w:val="en-AU" w:eastAsia="en-US"/>
              </w:rPr>
            </w:pPr>
            <w:r>
              <w:rPr>
                <w:color w:val="000000"/>
                <w:sz w:val="20"/>
                <w:lang w:val="en-AU" w:eastAsia="en-US"/>
              </w:rPr>
              <w:t xml:space="preserve">FINNISH MARKKA </w:t>
            </w:r>
          </w:p>
        </w:tc>
        <w:tc>
          <w:tcPr>
            <w:tcW w:w="1056" w:type="dxa"/>
            <w:tcBorders/>
          </w:tcPr>
          <w:p>
            <w:pPr>
              <w:pStyle w:val="Normal"/>
              <w:jc w:val="end"/>
              <w:rPr>
                <w:color w:val="000000"/>
                <w:sz w:val="20"/>
                <w:lang w:val="en-AU" w:eastAsia="en-US"/>
              </w:rPr>
            </w:pPr>
            <w:r>
              <w:rPr>
                <w:color w:val="000000"/>
                <w:sz w:val="20"/>
                <w:lang w:val="en-AU" w:eastAsia="en-US"/>
              </w:rPr>
              <w:t>0.152</w:t>
            </w:r>
          </w:p>
        </w:tc>
        <w:tc>
          <w:tcPr>
            <w:tcW w:w="1025" w:type="dxa"/>
            <w:tcBorders/>
          </w:tcPr>
          <w:p>
            <w:pPr>
              <w:pStyle w:val="Normal"/>
              <w:jc w:val="end"/>
              <w:rPr>
                <w:color w:val="000000"/>
                <w:sz w:val="20"/>
                <w:lang w:val="en-AU" w:eastAsia="en-US"/>
              </w:rPr>
            </w:pPr>
            <w:r>
              <w:rPr>
                <w:color w:val="000000"/>
                <w:sz w:val="20"/>
                <w:lang w:val="en-AU" w:eastAsia="en-US"/>
              </w:rPr>
              <w:t>0.103</w:t>
            </w:r>
          </w:p>
        </w:tc>
        <w:tc>
          <w:tcPr>
            <w:tcW w:w="1025" w:type="dxa"/>
            <w:tcBorders/>
          </w:tcPr>
          <w:p>
            <w:pPr>
              <w:pStyle w:val="Normal"/>
              <w:jc w:val="end"/>
              <w:rPr>
                <w:color w:val="000000"/>
                <w:sz w:val="20"/>
                <w:lang w:val="en-AU" w:eastAsia="en-US"/>
              </w:rPr>
            </w:pPr>
            <w:r>
              <w:rPr>
                <w:color w:val="000000"/>
                <w:sz w:val="20"/>
                <w:lang w:val="en-AU" w:eastAsia="en-US"/>
              </w:rPr>
              <w:t>0.168</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FRF</w:t>
            </w:r>
          </w:p>
        </w:tc>
        <w:tc>
          <w:tcPr>
            <w:tcW w:w="2854" w:type="dxa"/>
            <w:tcBorders/>
          </w:tcPr>
          <w:p>
            <w:pPr>
              <w:pStyle w:val="Normal"/>
              <w:rPr>
                <w:color w:val="000000"/>
                <w:sz w:val="20"/>
                <w:lang w:val="en-AU" w:eastAsia="en-US"/>
              </w:rPr>
            </w:pPr>
            <w:r>
              <w:rPr>
                <w:color w:val="000000"/>
                <w:sz w:val="20"/>
                <w:lang w:val="en-AU" w:eastAsia="en-US"/>
              </w:rPr>
              <w:t xml:space="preserve">FRENCH FRANC </w:t>
            </w:r>
          </w:p>
        </w:tc>
        <w:tc>
          <w:tcPr>
            <w:tcW w:w="1056" w:type="dxa"/>
            <w:tcBorders/>
          </w:tcPr>
          <w:p>
            <w:pPr>
              <w:pStyle w:val="Normal"/>
              <w:jc w:val="end"/>
              <w:rPr>
                <w:color w:val="000000"/>
                <w:sz w:val="20"/>
                <w:lang w:val="en-AU" w:eastAsia="en-US"/>
              </w:rPr>
            </w:pPr>
            <w:r>
              <w:rPr>
                <w:color w:val="000000"/>
                <w:sz w:val="20"/>
                <w:lang w:val="en-AU" w:eastAsia="en-US"/>
              </w:rPr>
              <w:t>0.138</w:t>
            </w:r>
          </w:p>
        </w:tc>
        <w:tc>
          <w:tcPr>
            <w:tcW w:w="1025" w:type="dxa"/>
            <w:tcBorders/>
          </w:tcPr>
          <w:p>
            <w:pPr>
              <w:pStyle w:val="Normal"/>
              <w:jc w:val="end"/>
              <w:rPr>
                <w:color w:val="000000"/>
                <w:sz w:val="20"/>
                <w:lang w:val="en-AU" w:eastAsia="en-US"/>
              </w:rPr>
            </w:pPr>
            <w:r>
              <w:rPr>
                <w:color w:val="000000"/>
                <w:sz w:val="20"/>
                <w:lang w:val="en-AU" w:eastAsia="en-US"/>
              </w:rPr>
              <w:t>0.093</w:t>
            </w:r>
          </w:p>
        </w:tc>
        <w:tc>
          <w:tcPr>
            <w:tcW w:w="1025" w:type="dxa"/>
            <w:tcBorders/>
          </w:tcPr>
          <w:p>
            <w:pPr>
              <w:pStyle w:val="Normal"/>
              <w:jc w:val="end"/>
              <w:rPr>
                <w:color w:val="000000"/>
                <w:sz w:val="20"/>
                <w:lang w:val="en-AU" w:eastAsia="en-US"/>
              </w:rPr>
            </w:pPr>
            <w:r>
              <w:rPr>
                <w:color w:val="000000"/>
                <w:sz w:val="20"/>
                <w:lang w:val="en-AU" w:eastAsia="en-US"/>
              </w:rPr>
              <w:t>0.152</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DEM</w:t>
            </w:r>
          </w:p>
        </w:tc>
        <w:tc>
          <w:tcPr>
            <w:tcW w:w="2854" w:type="dxa"/>
            <w:tcBorders/>
          </w:tcPr>
          <w:p>
            <w:pPr>
              <w:pStyle w:val="Normal"/>
              <w:rPr>
                <w:color w:val="000000"/>
                <w:sz w:val="20"/>
                <w:lang w:val="en-AU" w:eastAsia="en-US"/>
              </w:rPr>
            </w:pPr>
            <w:r>
              <w:rPr>
                <w:color w:val="000000"/>
                <w:sz w:val="20"/>
                <w:lang w:val="en-AU" w:eastAsia="en-US"/>
              </w:rPr>
              <w:t xml:space="preserve">GERMAN MARK </w:t>
            </w:r>
          </w:p>
        </w:tc>
        <w:tc>
          <w:tcPr>
            <w:tcW w:w="1056" w:type="dxa"/>
            <w:tcBorders/>
          </w:tcPr>
          <w:p>
            <w:pPr>
              <w:pStyle w:val="Normal"/>
              <w:jc w:val="end"/>
              <w:rPr>
                <w:color w:val="000000"/>
                <w:sz w:val="20"/>
                <w:lang w:val="en-AU" w:eastAsia="en-US"/>
              </w:rPr>
            </w:pPr>
            <w:r>
              <w:rPr>
                <w:color w:val="000000"/>
                <w:sz w:val="20"/>
                <w:lang w:val="en-AU" w:eastAsia="en-US"/>
              </w:rPr>
              <w:t>0.462</w:t>
            </w:r>
          </w:p>
        </w:tc>
        <w:tc>
          <w:tcPr>
            <w:tcW w:w="1025" w:type="dxa"/>
            <w:tcBorders/>
          </w:tcPr>
          <w:p>
            <w:pPr>
              <w:pStyle w:val="Normal"/>
              <w:jc w:val="end"/>
              <w:rPr>
                <w:color w:val="000000"/>
                <w:sz w:val="20"/>
                <w:lang w:val="en-AU" w:eastAsia="en-US"/>
              </w:rPr>
            </w:pPr>
            <w:r>
              <w:rPr>
                <w:color w:val="000000"/>
                <w:sz w:val="20"/>
                <w:lang w:val="en-AU" w:eastAsia="en-US"/>
              </w:rPr>
              <w:t>0.312</w:t>
            </w:r>
          </w:p>
        </w:tc>
        <w:tc>
          <w:tcPr>
            <w:tcW w:w="1025" w:type="dxa"/>
            <w:tcBorders/>
          </w:tcPr>
          <w:p>
            <w:pPr>
              <w:pStyle w:val="Normal"/>
              <w:jc w:val="end"/>
              <w:rPr>
                <w:color w:val="000000"/>
                <w:sz w:val="20"/>
                <w:lang w:val="en-AU" w:eastAsia="en-US"/>
              </w:rPr>
            </w:pPr>
            <w:r>
              <w:rPr>
                <w:color w:val="000000"/>
                <w:sz w:val="20"/>
                <w:lang w:val="en-AU" w:eastAsia="en-US"/>
              </w:rPr>
              <w:t>0.511</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IEP</w:t>
            </w:r>
          </w:p>
        </w:tc>
        <w:tc>
          <w:tcPr>
            <w:tcW w:w="2854" w:type="dxa"/>
            <w:tcBorders/>
          </w:tcPr>
          <w:p>
            <w:pPr>
              <w:pStyle w:val="Normal"/>
              <w:rPr>
                <w:color w:val="000000"/>
                <w:sz w:val="20"/>
                <w:lang w:val="en-AU" w:eastAsia="en-US"/>
              </w:rPr>
            </w:pPr>
            <w:r>
              <w:rPr>
                <w:color w:val="000000"/>
                <w:sz w:val="20"/>
                <w:lang w:val="en-AU" w:eastAsia="en-US"/>
              </w:rPr>
              <w:t xml:space="preserve">IRISH PUNT </w:t>
            </w:r>
          </w:p>
        </w:tc>
        <w:tc>
          <w:tcPr>
            <w:tcW w:w="1056" w:type="dxa"/>
            <w:tcBorders/>
          </w:tcPr>
          <w:p>
            <w:pPr>
              <w:pStyle w:val="Normal"/>
              <w:jc w:val="end"/>
              <w:rPr>
                <w:color w:val="000000"/>
                <w:sz w:val="20"/>
                <w:lang w:val="en-AU" w:eastAsia="en-US"/>
              </w:rPr>
            </w:pPr>
            <w:r>
              <w:rPr>
                <w:color w:val="000000"/>
                <w:sz w:val="20"/>
                <w:lang w:val="en-AU" w:eastAsia="en-US"/>
              </w:rPr>
              <w:t>1.147</w:t>
            </w:r>
          </w:p>
        </w:tc>
        <w:tc>
          <w:tcPr>
            <w:tcW w:w="1025" w:type="dxa"/>
            <w:tcBorders/>
          </w:tcPr>
          <w:p>
            <w:pPr>
              <w:pStyle w:val="Normal"/>
              <w:jc w:val="end"/>
              <w:rPr>
                <w:color w:val="000000"/>
                <w:sz w:val="20"/>
                <w:lang w:val="en-AU" w:eastAsia="en-US"/>
              </w:rPr>
            </w:pPr>
            <w:r>
              <w:rPr>
                <w:color w:val="000000"/>
                <w:sz w:val="20"/>
                <w:lang w:val="en-AU" w:eastAsia="en-US"/>
              </w:rPr>
              <w:t>0.774</w:t>
            </w:r>
          </w:p>
        </w:tc>
        <w:tc>
          <w:tcPr>
            <w:tcW w:w="1025" w:type="dxa"/>
            <w:tcBorders/>
          </w:tcPr>
          <w:p>
            <w:pPr>
              <w:pStyle w:val="Normal"/>
              <w:jc w:val="end"/>
              <w:rPr>
                <w:color w:val="000000"/>
                <w:sz w:val="20"/>
                <w:lang w:val="en-AU" w:eastAsia="en-US"/>
              </w:rPr>
            </w:pPr>
            <w:r>
              <w:rPr>
                <w:color w:val="000000"/>
                <w:sz w:val="20"/>
                <w:lang w:val="en-AU" w:eastAsia="en-US"/>
              </w:rPr>
              <w:t>1.270</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ITL</w:t>
            </w:r>
          </w:p>
        </w:tc>
        <w:tc>
          <w:tcPr>
            <w:tcW w:w="2854" w:type="dxa"/>
            <w:tcBorders/>
          </w:tcPr>
          <w:p>
            <w:pPr>
              <w:pStyle w:val="Normal"/>
              <w:rPr>
                <w:color w:val="000000"/>
                <w:sz w:val="20"/>
                <w:lang w:val="en-AU" w:eastAsia="en-US"/>
              </w:rPr>
            </w:pPr>
            <w:r>
              <w:rPr>
                <w:color w:val="000000"/>
                <w:sz w:val="20"/>
                <w:lang w:val="en-AU" w:eastAsia="en-US"/>
              </w:rPr>
              <w:t xml:space="preserve">ITALIAN LIRA </w:t>
            </w:r>
          </w:p>
        </w:tc>
        <w:tc>
          <w:tcPr>
            <w:tcW w:w="1056" w:type="dxa"/>
            <w:tcBorders/>
          </w:tcPr>
          <w:p>
            <w:pPr>
              <w:pStyle w:val="Normal"/>
              <w:jc w:val="end"/>
              <w:rPr>
                <w:color w:val="000000"/>
                <w:sz w:val="20"/>
                <w:lang w:val="en-AU" w:eastAsia="en-US"/>
              </w:rPr>
            </w:pPr>
            <w:r>
              <w:rPr>
                <w:color w:val="000000"/>
                <w:sz w:val="20"/>
                <w:lang w:val="en-AU" w:eastAsia="en-US"/>
              </w:rPr>
              <w:t>0.0005</w:t>
            </w:r>
          </w:p>
        </w:tc>
        <w:tc>
          <w:tcPr>
            <w:tcW w:w="1025" w:type="dxa"/>
            <w:tcBorders/>
          </w:tcPr>
          <w:p>
            <w:pPr>
              <w:pStyle w:val="Normal"/>
              <w:jc w:val="end"/>
              <w:rPr>
                <w:color w:val="000000"/>
                <w:sz w:val="20"/>
                <w:lang w:val="en-AU" w:eastAsia="en-US"/>
              </w:rPr>
            </w:pPr>
            <w:r>
              <w:rPr>
                <w:color w:val="000000"/>
                <w:sz w:val="20"/>
                <w:lang w:val="en-AU" w:eastAsia="en-US"/>
              </w:rPr>
              <w:t>0.003</w:t>
            </w:r>
          </w:p>
        </w:tc>
        <w:tc>
          <w:tcPr>
            <w:tcW w:w="1025" w:type="dxa"/>
            <w:tcBorders/>
          </w:tcPr>
          <w:p>
            <w:pPr>
              <w:pStyle w:val="Normal"/>
              <w:jc w:val="end"/>
              <w:rPr>
                <w:color w:val="000000"/>
                <w:sz w:val="20"/>
                <w:lang w:val="en-AU" w:eastAsia="en-US"/>
              </w:rPr>
            </w:pPr>
            <w:r>
              <w:rPr>
                <w:color w:val="000000"/>
                <w:sz w:val="20"/>
                <w:lang w:val="en-AU" w:eastAsia="en-US"/>
              </w:rPr>
              <w:t>0.0005</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NOK</w:t>
            </w:r>
          </w:p>
        </w:tc>
        <w:tc>
          <w:tcPr>
            <w:tcW w:w="2854" w:type="dxa"/>
            <w:tcBorders/>
          </w:tcPr>
          <w:p>
            <w:pPr>
              <w:pStyle w:val="Normal"/>
              <w:rPr>
                <w:color w:val="000000"/>
                <w:sz w:val="20"/>
                <w:lang w:val="en-AU" w:eastAsia="en-US"/>
              </w:rPr>
            </w:pPr>
            <w:r>
              <w:rPr>
                <w:color w:val="000000"/>
                <w:sz w:val="20"/>
                <w:lang w:val="en-AU" w:eastAsia="en-US"/>
              </w:rPr>
              <w:t xml:space="preserve">NORWEGIAN KRONE </w:t>
            </w:r>
          </w:p>
        </w:tc>
        <w:tc>
          <w:tcPr>
            <w:tcW w:w="1056" w:type="dxa"/>
            <w:tcBorders/>
          </w:tcPr>
          <w:p>
            <w:pPr>
              <w:pStyle w:val="Normal"/>
              <w:jc w:val="end"/>
              <w:rPr>
                <w:color w:val="000000"/>
                <w:sz w:val="20"/>
                <w:lang w:val="en-AU" w:eastAsia="en-US"/>
              </w:rPr>
            </w:pPr>
            <w:r>
              <w:rPr>
                <w:color w:val="000000"/>
                <w:sz w:val="20"/>
                <w:lang w:val="en-AU" w:eastAsia="en-US"/>
              </w:rPr>
              <w:t>0.112</w:t>
            </w:r>
          </w:p>
        </w:tc>
        <w:tc>
          <w:tcPr>
            <w:tcW w:w="1025" w:type="dxa"/>
            <w:tcBorders/>
          </w:tcPr>
          <w:p>
            <w:pPr>
              <w:pStyle w:val="Normal"/>
              <w:jc w:val="end"/>
              <w:rPr>
                <w:color w:val="000000"/>
                <w:sz w:val="20"/>
                <w:lang w:val="en-AU" w:eastAsia="en-US"/>
              </w:rPr>
            </w:pPr>
            <w:r>
              <w:rPr>
                <w:color w:val="000000"/>
                <w:sz w:val="20"/>
                <w:lang w:val="en-AU" w:eastAsia="en-US"/>
              </w:rPr>
              <w:t>0.075</w:t>
            </w:r>
          </w:p>
        </w:tc>
        <w:tc>
          <w:tcPr>
            <w:tcW w:w="1025" w:type="dxa"/>
            <w:tcBorders/>
          </w:tcPr>
          <w:p>
            <w:pPr>
              <w:pStyle w:val="Normal"/>
              <w:jc w:val="end"/>
              <w:rPr>
                <w:color w:val="000000"/>
                <w:sz w:val="20"/>
                <w:lang w:val="en-AU" w:eastAsia="en-US"/>
              </w:rPr>
            </w:pPr>
            <w:r>
              <w:rPr>
                <w:color w:val="000000"/>
                <w:sz w:val="20"/>
                <w:lang w:val="en-AU" w:eastAsia="en-US"/>
              </w:rPr>
              <w:t>0.123</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ROL</w:t>
            </w:r>
          </w:p>
        </w:tc>
        <w:tc>
          <w:tcPr>
            <w:tcW w:w="2854" w:type="dxa"/>
            <w:tcBorders/>
          </w:tcPr>
          <w:p>
            <w:pPr>
              <w:pStyle w:val="Normal"/>
              <w:rPr>
                <w:color w:val="000000"/>
                <w:sz w:val="20"/>
                <w:lang w:val="en-AU" w:eastAsia="en-US"/>
              </w:rPr>
            </w:pPr>
            <w:r>
              <w:rPr>
                <w:color w:val="000000"/>
                <w:sz w:val="20"/>
                <w:lang w:val="en-AU" w:eastAsia="en-US"/>
              </w:rPr>
              <w:t xml:space="preserve">ROMANIAN LEU </w:t>
            </w:r>
          </w:p>
        </w:tc>
        <w:tc>
          <w:tcPr>
            <w:tcW w:w="1056" w:type="dxa"/>
            <w:tcBorders/>
          </w:tcPr>
          <w:p>
            <w:pPr>
              <w:pStyle w:val="Normal"/>
              <w:jc w:val="end"/>
              <w:rPr>
                <w:color w:val="000000"/>
                <w:sz w:val="20"/>
                <w:lang w:val="en-AU" w:eastAsia="en-US"/>
              </w:rPr>
            </w:pPr>
            <w:r>
              <w:rPr>
                <w:color w:val="000000"/>
                <w:sz w:val="20"/>
                <w:lang w:val="en-AU" w:eastAsia="en-US"/>
              </w:rPr>
              <w:t>0.00004</w:t>
            </w:r>
          </w:p>
        </w:tc>
        <w:tc>
          <w:tcPr>
            <w:tcW w:w="1025" w:type="dxa"/>
            <w:tcBorders/>
          </w:tcPr>
          <w:p>
            <w:pPr>
              <w:pStyle w:val="Normal"/>
              <w:snapToGrid w:val="false"/>
              <w:jc w:val="end"/>
              <w:rPr>
                <w:color w:val="000000"/>
                <w:sz w:val="20"/>
                <w:lang w:val="en-AU" w:eastAsia="en-US"/>
              </w:rPr>
            </w:pPr>
            <w:r>
              <w:rPr>
                <w:color w:val="000000"/>
                <w:sz w:val="20"/>
                <w:lang w:val="en-AU" w:eastAsia="en-US"/>
              </w:rPr>
            </w:r>
          </w:p>
        </w:tc>
        <w:tc>
          <w:tcPr>
            <w:tcW w:w="1025" w:type="dxa"/>
            <w:tcBorders/>
          </w:tcPr>
          <w:p>
            <w:pPr>
              <w:pStyle w:val="Normal"/>
              <w:snapToGrid w:val="false"/>
              <w:jc w:val="end"/>
              <w:rPr>
                <w:color w:val="000000"/>
                <w:sz w:val="20"/>
                <w:lang w:val="en-AU" w:eastAsia="en-US"/>
              </w:rPr>
            </w:pPr>
            <w:r>
              <w:rPr>
                <w:color w:val="000000"/>
                <w:sz w:val="20"/>
                <w:lang w:val="en-AU" w:eastAsia="en-US"/>
              </w:rPr>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ESP</w:t>
            </w:r>
          </w:p>
        </w:tc>
        <w:tc>
          <w:tcPr>
            <w:tcW w:w="2854" w:type="dxa"/>
            <w:tcBorders/>
          </w:tcPr>
          <w:p>
            <w:pPr>
              <w:pStyle w:val="Normal"/>
              <w:rPr>
                <w:color w:val="000000"/>
                <w:sz w:val="20"/>
                <w:lang w:val="en-AU" w:eastAsia="en-US"/>
              </w:rPr>
            </w:pPr>
            <w:r>
              <w:rPr>
                <w:color w:val="000000"/>
                <w:sz w:val="20"/>
                <w:lang w:val="en-AU" w:eastAsia="en-US"/>
              </w:rPr>
              <w:t xml:space="preserve">SPANISH PESETA </w:t>
            </w:r>
          </w:p>
        </w:tc>
        <w:tc>
          <w:tcPr>
            <w:tcW w:w="1056" w:type="dxa"/>
            <w:tcBorders/>
          </w:tcPr>
          <w:p>
            <w:pPr>
              <w:pStyle w:val="Normal"/>
              <w:jc w:val="end"/>
              <w:rPr>
                <w:color w:val="000000"/>
                <w:sz w:val="20"/>
                <w:lang w:val="en-AU" w:eastAsia="en-US"/>
              </w:rPr>
            </w:pPr>
            <w:r>
              <w:rPr>
                <w:color w:val="000000"/>
                <w:sz w:val="20"/>
                <w:lang w:val="en-AU" w:eastAsia="en-US"/>
              </w:rPr>
              <w:t>0.005</w:t>
            </w:r>
          </w:p>
        </w:tc>
        <w:tc>
          <w:tcPr>
            <w:tcW w:w="1025" w:type="dxa"/>
            <w:tcBorders/>
          </w:tcPr>
          <w:p>
            <w:pPr>
              <w:pStyle w:val="Normal"/>
              <w:jc w:val="end"/>
              <w:rPr>
                <w:color w:val="000000"/>
                <w:sz w:val="20"/>
                <w:lang w:val="en-AU" w:eastAsia="en-US"/>
              </w:rPr>
            </w:pPr>
            <w:r>
              <w:rPr>
                <w:color w:val="000000"/>
                <w:sz w:val="20"/>
                <w:lang w:val="en-AU" w:eastAsia="en-US"/>
              </w:rPr>
              <w:t>0.273</w:t>
            </w:r>
          </w:p>
        </w:tc>
        <w:tc>
          <w:tcPr>
            <w:tcW w:w="1025" w:type="dxa"/>
            <w:tcBorders/>
          </w:tcPr>
          <w:p>
            <w:pPr>
              <w:pStyle w:val="Normal"/>
              <w:jc w:val="end"/>
              <w:rPr>
                <w:color w:val="000000"/>
                <w:sz w:val="20"/>
                <w:lang w:val="en-AU" w:eastAsia="en-US"/>
              </w:rPr>
            </w:pPr>
            <w:r>
              <w:rPr>
                <w:color w:val="000000"/>
                <w:sz w:val="20"/>
                <w:lang w:val="en-AU" w:eastAsia="en-US"/>
              </w:rPr>
              <w:t>0.006</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SEK</w:t>
            </w:r>
          </w:p>
        </w:tc>
        <w:tc>
          <w:tcPr>
            <w:tcW w:w="2854" w:type="dxa"/>
            <w:tcBorders/>
          </w:tcPr>
          <w:p>
            <w:pPr>
              <w:pStyle w:val="Normal"/>
              <w:rPr>
                <w:color w:val="000000"/>
                <w:sz w:val="20"/>
                <w:lang w:val="en-AU" w:eastAsia="en-US"/>
              </w:rPr>
            </w:pPr>
            <w:r>
              <w:rPr>
                <w:color w:val="000000"/>
                <w:sz w:val="20"/>
                <w:lang w:val="en-AU" w:eastAsia="en-US"/>
              </w:rPr>
              <w:t xml:space="preserve">SWEDISH KRONA </w:t>
            </w:r>
          </w:p>
        </w:tc>
        <w:tc>
          <w:tcPr>
            <w:tcW w:w="1056" w:type="dxa"/>
            <w:tcBorders/>
          </w:tcPr>
          <w:p>
            <w:pPr>
              <w:pStyle w:val="Normal"/>
              <w:jc w:val="end"/>
              <w:rPr>
                <w:color w:val="000000"/>
                <w:sz w:val="20"/>
                <w:lang w:val="en-AU" w:eastAsia="en-US"/>
              </w:rPr>
            </w:pPr>
            <w:r>
              <w:rPr>
                <w:color w:val="000000"/>
                <w:sz w:val="20"/>
                <w:lang w:val="en-AU" w:eastAsia="en-US"/>
              </w:rPr>
              <w:t>0.108</w:t>
            </w:r>
          </w:p>
        </w:tc>
        <w:tc>
          <w:tcPr>
            <w:tcW w:w="1025" w:type="dxa"/>
            <w:tcBorders/>
          </w:tcPr>
          <w:p>
            <w:pPr>
              <w:pStyle w:val="Normal"/>
              <w:jc w:val="end"/>
              <w:rPr>
                <w:color w:val="000000"/>
                <w:sz w:val="20"/>
                <w:lang w:val="en-AU" w:eastAsia="en-US"/>
              </w:rPr>
            </w:pPr>
            <w:r>
              <w:rPr>
                <w:color w:val="000000"/>
                <w:sz w:val="20"/>
                <w:lang w:val="en-AU" w:eastAsia="en-US"/>
              </w:rPr>
              <w:t>0.073</w:t>
            </w:r>
          </w:p>
        </w:tc>
        <w:tc>
          <w:tcPr>
            <w:tcW w:w="1025" w:type="dxa"/>
            <w:tcBorders/>
          </w:tcPr>
          <w:p>
            <w:pPr>
              <w:pStyle w:val="Normal"/>
              <w:jc w:val="end"/>
              <w:rPr>
                <w:color w:val="000000"/>
                <w:sz w:val="20"/>
                <w:lang w:val="en-AU" w:eastAsia="en-US"/>
              </w:rPr>
            </w:pPr>
            <w:r>
              <w:rPr>
                <w:color w:val="000000"/>
                <w:sz w:val="20"/>
                <w:lang w:val="en-AU" w:eastAsia="en-US"/>
              </w:rPr>
              <w:t>0.119</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CHF</w:t>
            </w:r>
          </w:p>
        </w:tc>
        <w:tc>
          <w:tcPr>
            <w:tcW w:w="2854" w:type="dxa"/>
            <w:tcBorders/>
          </w:tcPr>
          <w:p>
            <w:pPr>
              <w:pStyle w:val="Normal"/>
              <w:rPr>
                <w:color w:val="000000"/>
                <w:sz w:val="20"/>
                <w:lang w:val="en-AU" w:eastAsia="en-US"/>
              </w:rPr>
            </w:pPr>
            <w:r>
              <w:rPr>
                <w:color w:val="000000"/>
                <w:sz w:val="20"/>
                <w:lang w:val="en-AU" w:eastAsia="en-US"/>
              </w:rPr>
              <w:t xml:space="preserve">SWISS FRANC </w:t>
            </w:r>
          </w:p>
        </w:tc>
        <w:tc>
          <w:tcPr>
            <w:tcW w:w="1056" w:type="dxa"/>
            <w:tcBorders/>
          </w:tcPr>
          <w:p>
            <w:pPr>
              <w:pStyle w:val="Normal"/>
              <w:jc w:val="end"/>
              <w:rPr>
                <w:color w:val="000000"/>
                <w:sz w:val="20"/>
                <w:lang w:val="en-AU" w:eastAsia="en-US"/>
              </w:rPr>
            </w:pPr>
            <w:r>
              <w:rPr>
                <w:color w:val="000000"/>
                <w:sz w:val="20"/>
                <w:lang w:val="en-AU" w:eastAsia="en-US"/>
              </w:rPr>
              <w:t>0.584</w:t>
            </w:r>
          </w:p>
        </w:tc>
        <w:tc>
          <w:tcPr>
            <w:tcW w:w="1025" w:type="dxa"/>
            <w:tcBorders/>
          </w:tcPr>
          <w:p>
            <w:pPr>
              <w:pStyle w:val="Normal"/>
              <w:jc w:val="end"/>
              <w:rPr>
                <w:color w:val="000000"/>
                <w:sz w:val="20"/>
                <w:lang w:val="en-AU" w:eastAsia="en-US"/>
              </w:rPr>
            </w:pPr>
            <w:r>
              <w:rPr>
                <w:color w:val="000000"/>
                <w:sz w:val="20"/>
                <w:lang w:val="en-AU" w:eastAsia="en-US"/>
              </w:rPr>
              <w:t>0.395</w:t>
            </w:r>
          </w:p>
        </w:tc>
        <w:tc>
          <w:tcPr>
            <w:tcW w:w="1025" w:type="dxa"/>
            <w:tcBorders/>
          </w:tcPr>
          <w:p>
            <w:pPr>
              <w:pStyle w:val="Normal"/>
              <w:jc w:val="end"/>
              <w:rPr>
                <w:color w:val="000000"/>
                <w:sz w:val="20"/>
                <w:lang w:val="en-AU" w:eastAsia="en-US"/>
              </w:rPr>
            </w:pPr>
            <w:r>
              <w:rPr>
                <w:color w:val="000000"/>
                <w:sz w:val="20"/>
                <w:lang w:val="en-AU" w:eastAsia="en-US"/>
              </w:rPr>
              <w:t>0.647</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AUD</w:t>
            </w:r>
          </w:p>
        </w:tc>
        <w:tc>
          <w:tcPr>
            <w:tcW w:w="2854" w:type="dxa"/>
            <w:tcBorders/>
          </w:tcPr>
          <w:p>
            <w:pPr>
              <w:pStyle w:val="Normal"/>
              <w:rPr>
                <w:color w:val="000000"/>
                <w:sz w:val="20"/>
                <w:lang w:val="en-AU" w:eastAsia="en-US"/>
              </w:rPr>
            </w:pPr>
            <w:r>
              <w:rPr>
                <w:color w:val="000000"/>
                <w:sz w:val="20"/>
                <w:lang w:val="en-AU" w:eastAsia="en-US"/>
              </w:rPr>
              <w:t xml:space="preserve">AUSTRALIAN DOLLAR </w:t>
            </w:r>
          </w:p>
        </w:tc>
        <w:tc>
          <w:tcPr>
            <w:tcW w:w="1056" w:type="dxa"/>
            <w:tcBorders/>
          </w:tcPr>
          <w:p>
            <w:pPr>
              <w:pStyle w:val="Normal"/>
              <w:jc w:val="end"/>
              <w:rPr>
                <w:color w:val="000000"/>
                <w:sz w:val="20"/>
                <w:lang w:val="en-AU" w:eastAsia="en-US"/>
              </w:rPr>
            </w:pPr>
            <w:r>
              <w:rPr>
                <w:color w:val="000000"/>
                <w:sz w:val="20"/>
                <w:lang w:val="en-AU" w:eastAsia="en-US"/>
              </w:rPr>
              <w:t>0.574</w:t>
            </w:r>
          </w:p>
        </w:tc>
        <w:tc>
          <w:tcPr>
            <w:tcW w:w="1025" w:type="dxa"/>
            <w:tcBorders/>
          </w:tcPr>
          <w:p>
            <w:pPr>
              <w:pStyle w:val="Normal"/>
              <w:jc w:val="end"/>
              <w:rPr>
                <w:color w:val="000000"/>
                <w:sz w:val="20"/>
                <w:lang w:val="en-AU" w:eastAsia="en-US"/>
              </w:rPr>
            </w:pPr>
            <w:r>
              <w:rPr>
                <w:color w:val="000000"/>
                <w:sz w:val="20"/>
                <w:lang w:val="en-AU" w:eastAsia="en-US"/>
              </w:rPr>
              <w:t>0.386</w:t>
            </w:r>
          </w:p>
        </w:tc>
        <w:tc>
          <w:tcPr>
            <w:tcW w:w="1025" w:type="dxa"/>
            <w:tcBorders/>
          </w:tcPr>
          <w:p>
            <w:pPr>
              <w:pStyle w:val="Normal"/>
              <w:jc w:val="end"/>
              <w:rPr>
                <w:color w:val="000000"/>
                <w:sz w:val="20"/>
                <w:lang w:val="en-AU" w:eastAsia="en-US"/>
              </w:rPr>
            </w:pPr>
            <w:r>
              <w:rPr>
                <w:color w:val="000000"/>
                <w:sz w:val="20"/>
                <w:lang w:val="en-AU" w:eastAsia="en-US"/>
              </w:rPr>
              <w:t>0.635</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HKD</w:t>
            </w:r>
          </w:p>
        </w:tc>
        <w:tc>
          <w:tcPr>
            <w:tcW w:w="2854" w:type="dxa"/>
            <w:tcBorders/>
          </w:tcPr>
          <w:p>
            <w:pPr>
              <w:pStyle w:val="Normal"/>
              <w:rPr>
                <w:color w:val="000000"/>
                <w:sz w:val="20"/>
                <w:lang w:val="en-AU" w:eastAsia="en-US"/>
              </w:rPr>
            </w:pPr>
            <w:r>
              <w:rPr>
                <w:color w:val="000000"/>
                <w:sz w:val="20"/>
                <w:lang w:val="en-AU" w:eastAsia="en-US"/>
              </w:rPr>
              <w:t xml:space="preserve">HONG KONG DOLLAR </w:t>
            </w:r>
          </w:p>
        </w:tc>
        <w:tc>
          <w:tcPr>
            <w:tcW w:w="1056" w:type="dxa"/>
            <w:tcBorders/>
          </w:tcPr>
          <w:p>
            <w:pPr>
              <w:pStyle w:val="Normal"/>
              <w:jc w:val="end"/>
              <w:rPr>
                <w:color w:val="000000"/>
                <w:sz w:val="20"/>
                <w:lang w:val="en-AU" w:eastAsia="en-US"/>
              </w:rPr>
            </w:pPr>
            <w:r>
              <w:rPr>
                <w:color w:val="000000"/>
                <w:sz w:val="20"/>
                <w:lang w:val="en-AU" w:eastAsia="en-US"/>
              </w:rPr>
              <w:t>0.128</w:t>
            </w:r>
          </w:p>
        </w:tc>
        <w:tc>
          <w:tcPr>
            <w:tcW w:w="1025" w:type="dxa"/>
            <w:tcBorders/>
          </w:tcPr>
          <w:p>
            <w:pPr>
              <w:pStyle w:val="Normal"/>
              <w:jc w:val="end"/>
              <w:rPr>
                <w:color w:val="000000"/>
                <w:sz w:val="20"/>
                <w:lang w:val="en-AU" w:eastAsia="en-US"/>
              </w:rPr>
            </w:pPr>
            <w:r>
              <w:rPr>
                <w:color w:val="000000"/>
                <w:sz w:val="20"/>
                <w:lang w:val="en-AU" w:eastAsia="en-US"/>
              </w:rPr>
              <w:t>0.087</w:t>
            </w:r>
          </w:p>
        </w:tc>
        <w:tc>
          <w:tcPr>
            <w:tcW w:w="1025" w:type="dxa"/>
            <w:tcBorders/>
          </w:tcPr>
          <w:p>
            <w:pPr>
              <w:pStyle w:val="Normal"/>
              <w:jc w:val="end"/>
              <w:rPr>
                <w:color w:val="000000"/>
                <w:sz w:val="20"/>
                <w:lang w:val="en-AU" w:eastAsia="en-US"/>
              </w:rPr>
            </w:pPr>
            <w:r>
              <w:rPr>
                <w:color w:val="000000"/>
                <w:sz w:val="20"/>
                <w:lang w:val="en-AU" w:eastAsia="en-US"/>
              </w:rPr>
              <w:t>0.142</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JPY</w:t>
            </w:r>
          </w:p>
        </w:tc>
        <w:tc>
          <w:tcPr>
            <w:tcW w:w="2854" w:type="dxa"/>
            <w:tcBorders/>
          </w:tcPr>
          <w:p>
            <w:pPr>
              <w:pStyle w:val="Normal"/>
              <w:rPr>
                <w:color w:val="000000"/>
                <w:sz w:val="20"/>
                <w:lang w:val="en-AU" w:eastAsia="en-US"/>
              </w:rPr>
            </w:pPr>
            <w:r>
              <w:rPr>
                <w:color w:val="000000"/>
                <w:sz w:val="20"/>
                <w:lang w:val="en-AU" w:eastAsia="en-US"/>
              </w:rPr>
              <w:t xml:space="preserve">JAPANESE YEN </w:t>
            </w:r>
          </w:p>
        </w:tc>
        <w:tc>
          <w:tcPr>
            <w:tcW w:w="1056" w:type="dxa"/>
            <w:tcBorders/>
          </w:tcPr>
          <w:p>
            <w:pPr>
              <w:pStyle w:val="Normal"/>
              <w:jc w:val="end"/>
              <w:rPr>
                <w:color w:val="000000"/>
                <w:sz w:val="20"/>
                <w:lang w:val="en-AU" w:eastAsia="en-US"/>
              </w:rPr>
            </w:pPr>
            <w:r>
              <w:rPr>
                <w:color w:val="000000"/>
                <w:sz w:val="20"/>
                <w:lang w:val="en-AU" w:eastAsia="en-US"/>
              </w:rPr>
              <w:t>0.009</w:t>
            </w:r>
          </w:p>
        </w:tc>
        <w:tc>
          <w:tcPr>
            <w:tcW w:w="1025" w:type="dxa"/>
            <w:tcBorders/>
          </w:tcPr>
          <w:p>
            <w:pPr>
              <w:pStyle w:val="Normal"/>
              <w:jc w:val="end"/>
              <w:rPr>
                <w:color w:val="000000"/>
                <w:sz w:val="20"/>
                <w:lang w:val="en-AU" w:eastAsia="en-US"/>
              </w:rPr>
            </w:pPr>
            <w:r>
              <w:rPr>
                <w:color w:val="000000"/>
                <w:sz w:val="20"/>
                <w:lang w:val="en-AU" w:eastAsia="en-US"/>
              </w:rPr>
              <w:t>0.006</w:t>
            </w:r>
          </w:p>
        </w:tc>
        <w:tc>
          <w:tcPr>
            <w:tcW w:w="1025" w:type="dxa"/>
            <w:tcBorders/>
          </w:tcPr>
          <w:p>
            <w:pPr>
              <w:pStyle w:val="Normal"/>
              <w:jc w:val="end"/>
              <w:rPr>
                <w:color w:val="000000"/>
                <w:sz w:val="20"/>
                <w:lang w:val="en-AU" w:eastAsia="en-US"/>
              </w:rPr>
            </w:pPr>
            <w:r>
              <w:rPr>
                <w:color w:val="000000"/>
                <w:sz w:val="20"/>
                <w:lang w:val="en-AU" w:eastAsia="en-US"/>
              </w:rPr>
              <w:t>0.010</w:t>
            </w:r>
          </w:p>
        </w:tc>
      </w:tr>
      <w:tr>
        <w:trPr>
          <w:trHeight w:val="247" w:hRule="atLeast"/>
        </w:trPr>
        <w:tc>
          <w:tcPr>
            <w:tcW w:w="1010" w:type="dxa"/>
            <w:tcBorders/>
          </w:tcPr>
          <w:p>
            <w:pPr>
              <w:pStyle w:val="Normal"/>
              <w:rPr>
                <w:color w:val="000000"/>
                <w:sz w:val="20"/>
                <w:lang w:val="en-AU" w:eastAsia="en-US"/>
              </w:rPr>
            </w:pPr>
            <w:r>
              <w:rPr>
                <w:color w:val="000000"/>
                <w:sz w:val="20"/>
                <w:lang w:val="en-AU" w:eastAsia="en-US"/>
              </w:rPr>
              <w:t>SGD</w:t>
            </w:r>
          </w:p>
        </w:tc>
        <w:tc>
          <w:tcPr>
            <w:tcW w:w="2854" w:type="dxa"/>
            <w:tcBorders/>
          </w:tcPr>
          <w:p>
            <w:pPr>
              <w:pStyle w:val="Normal"/>
              <w:rPr>
                <w:color w:val="000000"/>
                <w:sz w:val="20"/>
                <w:lang w:val="en-AU" w:eastAsia="en-US"/>
              </w:rPr>
            </w:pPr>
            <w:r>
              <w:rPr>
                <w:color w:val="000000"/>
                <w:sz w:val="20"/>
                <w:lang w:val="en-AU" w:eastAsia="en-US"/>
              </w:rPr>
              <w:t xml:space="preserve">SINGAPORE DOLLAR </w:t>
            </w:r>
          </w:p>
        </w:tc>
        <w:tc>
          <w:tcPr>
            <w:tcW w:w="1056" w:type="dxa"/>
            <w:tcBorders/>
          </w:tcPr>
          <w:p>
            <w:pPr>
              <w:pStyle w:val="Normal"/>
              <w:jc w:val="end"/>
              <w:rPr>
                <w:color w:val="000000"/>
                <w:sz w:val="20"/>
                <w:lang w:val="en-AU" w:eastAsia="en-US"/>
              </w:rPr>
            </w:pPr>
            <w:r>
              <w:rPr>
                <w:color w:val="000000"/>
                <w:sz w:val="20"/>
                <w:lang w:val="en-AU" w:eastAsia="en-US"/>
              </w:rPr>
              <w:t>1.720</w:t>
            </w:r>
          </w:p>
        </w:tc>
        <w:tc>
          <w:tcPr>
            <w:tcW w:w="1025" w:type="dxa"/>
            <w:tcBorders/>
          </w:tcPr>
          <w:p>
            <w:pPr>
              <w:pStyle w:val="Normal"/>
              <w:jc w:val="end"/>
              <w:rPr>
                <w:color w:val="000000"/>
                <w:sz w:val="20"/>
                <w:lang w:val="en-AU" w:eastAsia="en-US"/>
              </w:rPr>
            </w:pPr>
            <w:r>
              <w:rPr>
                <w:color w:val="000000"/>
                <w:sz w:val="20"/>
                <w:lang w:val="en-AU" w:eastAsia="en-US"/>
              </w:rPr>
              <w:t>2.550</w:t>
            </w:r>
          </w:p>
        </w:tc>
        <w:tc>
          <w:tcPr>
            <w:tcW w:w="1025" w:type="dxa"/>
            <w:tcBorders/>
          </w:tcPr>
          <w:p>
            <w:pPr>
              <w:pStyle w:val="Normal"/>
              <w:jc w:val="end"/>
              <w:rPr>
                <w:color w:val="000000"/>
                <w:sz w:val="20"/>
                <w:lang w:val="en-AU" w:eastAsia="en-US"/>
              </w:rPr>
            </w:pPr>
            <w:r>
              <w:rPr>
                <w:color w:val="000000"/>
                <w:sz w:val="20"/>
                <w:lang w:val="en-AU" w:eastAsia="en-US"/>
              </w:rPr>
              <w:t>1.554</w:t>
            </w:r>
          </w:p>
        </w:tc>
      </w:tr>
    </w:tbl>
    <w:p>
      <w:pPr>
        <w:pStyle w:val="Normal"/>
        <w:jc w:val="both"/>
        <w:rPr>
          <w:sz w:val="20"/>
        </w:rPr>
      </w:pPr>
      <w:r>
        <w:rPr>
          <w:sz w:val="20"/>
        </w:rPr>
      </w:r>
    </w:p>
    <w:p>
      <w:pPr>
        <w:pStyle w:val="Normal"/>
        <w:jc w:val="both"/>
        <w:rPr>
          <w:sz w:val="22"/>
        </w:rPr>
      </w:pPr>
      <w:r>
        <w:rPr>
          <w:sz w:val="22"/>
        </w:rPr>
      </w:r>
    </w:p>
    <w:p>
      <w:pPr>
        <w:pStyle w:val="Heading4"/>
        <w:ind w:hanging="0" w:start="0"/>
        <w:rPr>
          <w:rFonts w:ascii="Arial; Helvetica" w:hAnsi="Arial; Helvetica" w:cs="Arial; Helvetica"/>
        </w:rPr>
      </w:pPr>
      <w:r>
        <w:rPr>
          <w:rFonts w:cs="Arial; Helvetica" w:ascii="Arial; Helvetica" w:hAnsi="Arial; Helvetica"/>
        </w:rPr>
        <w:t>EQUITIES Market News</w:t>
      </w:r>
    </w:p>
    <w:p>
      <w:pPr>
        <w:pStyle w:val="Normal"/>
        <w:jc w:val="both"/>
        <w:rPr>
          <w:rFonts w:ascii="Arial; Helvetica" w:hAnsi="Arial; Helvetica" w:cs="Arial; Helvetica"/>
          <w:sz w:val="22"/>
        </w:rPr>
      </w:pPr>
      <w:r>
        <w:rPr>
          <w:rFonts w:cs="Arial; Helvetica"/>
          <w:sz w:val="22"/>
        </w:rPr>
      </w:r>
    </w:p>
    <w:p>
      <w:pPr>
        <w:pStyle w:val="Normal"/>
        <w:jc w:val="both"/>
        <w:rPr>
          <w:sz w:val="22"/>
        </w:rPr>
      </w:pPr>
      <w:r>
        <w:rPr>
          <w:sz w:val="22"/>
        </w:rPr>
        <w:t xml:space="preserve">European markets finished modestly lower, hurt by weakness in oil shares. </w:t>
      </w:r>
    </w:p>
    <w:p>
      <w:pPr>
        <w:pStyle w:val="Normal"/>
        <w:jc w:val="both"/>
        <w:rPr>
          <w:sz w:val="22"/>
        </w:rPr>
      </w:pPr>
      <w:r>
        <w:rPr>
          <w:sz w:val="22"/>
        </w:rPr>
      </w:r>
    </w:p>
    <w:p>
      <w:pPr>
        <w:pStyle w:val="Normal"/>
        <w:numPr>
          <w:ilvl w:val="0"/>
          <w:numId w:val="8"/>
        </w:numPr>
        <w:jc w:val="both"/>
        <w:rPr>
          <w:sz w:val="22"/>
        </w:rPr>
      </w:pPr>
      <w:r>
        <w:rPr>
          <w:sz w:val="22"/>
        </w:rPr>
        <w:t xml:space="preserve">In London, the Financial Times Stock Exchange 100 Share Index slipped 9.2 points, or 0.1%, to 6557 on volume of 1.8 billion shares. Oil stocks, which recently outperformed the broader market, ended lower as Brent futures weakened at London's International Petroleum Exchange. Heavyweight BP Amoco shed 1.5% and Shell surrendered 3.3%. In Paris, Total Fina Elf lost 2.8%. In Amsterdam, Royal Dutch ended down 3.9%. Rolls-Royce led decliners in London, tumbling 22%. The company reported a better-than-expected 26% rise in first-half pretax profit, but warned that a combination of factors have affected the outlook for 2001, when it expects earnings to be flat. Hilton Group fell 4.5% after releasing results at the bottom end of expectations. Telecommunications shares, which have been pressured because of the unexpectedly high prices paid in Germany's next-generation mobile-phone license auctions, attracted some buyers. Many investors are now taking the view that perhaps the sector has 'been hit too hard’. Vodafone Group, the stock with the heaviest weighting in London's FTSE index, climbed 3%. British Telecommunications gained 2.8% as Standard &amp; Poor's maintained its 'A' rating on the company. </w:t>
      </w:r>
      <w:r>
        <w:br w:type="page"/>
      </w:r>
    </w:p>
    <w:p>
      <w:pPr>
        <w:pStyle w:val="Normal"/>
        <w:jc w:val="both"/>
        <w:rPr>
          <w:sz w:val="22"/>
        </w:rPr>
      </w:pPr>
      <w:r>
        <w:rPr>
          <w:sz w:val="22"/>
        </w:rPr>
      </w:r>
    </w:p>
    <w:p>
      <w:pPr>
        <w:pStyle w:val="Normal"/>
        <w:numPr>
          <w:ilvl w:val="0"/>
          <w:numId w:val="8"/>
        </w:numPr>
        <w:jc w:val="both"/>
        <w:rPr>
          <w:sz w:val="22"/>
        </w:rPr>
      </w:pPr>
      <w:r>
        <w:rPr>
          <w:sz w:val="22"/>
        </w:rPr>
        <w:t>In Paris, France Telecom added 2.5%. The CAC-40 index in Paris closed down 39.77, or 0.6%, at 6461.93.</w:t>
      </w:r>
    </w:p>
    <w:p>
      <w:pPr>
        <w:pStyle w:val="Normal"/>
        <w:jc w:val="both"/>
        <w:rPr>
          <w:sz w:val="22"/>
        </w:rPr>
      </w:pPr>
      <w:r>
        <w:rPr>
          <w:sz w:val="22"/>
        </w:rPr>
      </w:r>
    </w:p>
    <w:p>
      <w:pPr>
        <w:pStyle w:val="Normal"/>
        <w:numPr>
          <w:ilvl w:val="0"/>
          <w:numId w:val="6"/>
        </w:numPr>
        <w:jc w:val="both"/>
        <w:rPr>
          <w:sz w:val="22"/>
        </w:rPr>
      </w:pPr>
      <w:r>
        <w:rPr>
          <w:sz w:val="22"/>
        </w:rPr>
        <w:t xml:space="preserve">In Frankfurt, the Xetra DAX index slipped 2.52 points to close at 7230.26. Deutsche Telekom rose 2.3% in Frankfurt. Europe's largest retailer Metro AG dropped 3.7% on disappointing first-half results and comments from Chairman Hans-Joachim Koerber, who said that the group doesn't plan any major divestments in the next two years. </w:t>
      </w:r>
    </w:p>
    <w:p>
      <w:pPr>
        <w:pStyle w:val="Normal"/>
        <w:jc w:val="both"/>
        <w:rPr>
          <w:sz w:val="22"/>
        </w:rPr>
      </w:pPr>
      <w:r>
        <w:rPr>
          <w:sz w:val="22"/>
        </w:rPr>
      </w:r>
    </w:p>
    <w:p>
      <w:pPr>
        <w:pStyle w:val="Normal"/>
        <w:numPr>
          <w:ilvl w:val="0"/>
          <w:numId w:val="2"/>
        </w:numPr>
        <w:jc w:val="both"/>
        <w:rPr>
          <w:sz w:val="22"/>
        </w:rPr>
      </w:pPr>
      <w:r>
        <w:rPr>
          <w:sz w:val="22"/>
        </w:rPr>
        <w:t xml:space="preserve">Madrid's Ibex-35 index surrendered 78 points, or 0.7%, to 10720.10, Milan's Mibtel index lost 140 points, or 0.4%, to 32258, and main indexes in Zurich and Stockholm closed down 0.3% and 0.2%, respectively. Shares finished mixed in Amsterdam, where the AEX index settled up less than a point. </w:t>
      </w:r>
    </w:p>
    <w:p>
      <w:pPr>
        <w:pStyle w:val="Normal"/>
        <w:jc w:val="both"/>
        <w:rPr>
          <w:sz w:val="22"/>
        </w:rPr>
      </w:pPr>
      <w:r>
        <w:rPr>
          <w:sz w:val="22"/>
        </w:rPr>
      </w:r>
    </w:p>
    <w:p>
      <w:pPr>
        <w:pStyle w:val="Normal"/>
        <w:numPr>
          <w:ilvl w:val="0"/>
          <w:numId w:val="5"/>
        </w:numPr>
        <w:jc w:val="both"/>
        <w:rPr>
          <w:sz w:val="22"/>
        </w:rPr>
      </w:pPr>
      <w:r>
        <w:rPr>
          <w:sz w:val="22"/>
        </w:rPr>
        <w:t xml:space="preserve">In Jakarta, the JSX index of Indonesian shares slumped 20.743 points, or 4.1%, to 486.653, with losers swamping gainers 183 to 12. The index also took a hit when rumors Vice President Megawati Sukarnoputri had resigned swept the market. As the market closed, she denied the talk, telling reporters outside her office, 'The most important thing is I ask you, the media, not to provoke untrue stories.' </w:t>
      </w:r>
    </w:p>
    <w:p>
      <w:pPr>
        <w:pStyle w:val="Normal"/>
        <w:jc w:val="both"/>
        <w:rPr>
          <w:sz w:val="22"/>
        </w:rPr>
      </w:pPr>
      <w:r>
        <w:rPr>
          <w:sz w:val="22"/>
        </w:rPr>
      </w:r>
    </w:p>
    <w:tbl>
      <w:tblPr>
        <w:tblW w:w="9669" w:type="dxa"/>
        <w:jc w:val="start"/>
        <w:tblInd w:w="0" w:type="dxa"/>
        <w:tblLayout w:type="fixed"/>
        <w:tblCellMar>
          <w:top w:w="0" w:type="dxa"/>
          <w:start w:w="30" w:type="dxa"/>
          <w:bottom w:w="0" w:type="dxa"/>
          <w:end w:w="30" w:type="dxa"/>
        </w:tblCellMar>
      </w:tblPr>
      <w:tblGrid>
        <w:gridCol w:w="3574"/>
        <w:gridCol w:w="1994"/>
        <w:gridCol w:w="1266"/>
        <w:gridCol w:w="1418"/>
        <w:gridCol w:w="1417"/>
      </w:tblGrid>
      <w:tr>
        <w:trPr>
          <w:trHeight w:val="247" w:hRule="atLeast"/>
        </w:trPr>
        <w:tc>
          <w:tcPr>
            <w:tcW w:w="3574" w:type="dxa"/>
            <w:tcBorders/>
          </w:tcPr>
          <w:p>
            <w:pPr>
              <w:pStyle w:val="Normal"/>
              <w:snapToGrid w:val="false"/>
              <w:jc w:val="end"/>
              <w:rPr>
                <w:color w:val="000000"/>
                <w:sz w:val="22"/>
                <w:lang w:val="en-AU" w:eastAsia="en-US"/>
              </w:rPr>
            </w:pPr>
            <w:r>
              <w:rPr>
                <w:color w:val="000000"/>
                <w:sz w:val="22"/>
                <w:lang w:val="en-AU" w:eastAsia="en-US"/>
              </w:rPr>
            </w:r>
          </w:p>
        </w:tc>
        <w:tc>
          <w:tcPr>
            <w:tcW w:w="1994" w:type="dxa"/>
            <w:tcBorders/>
          </w:tcPr>
          <w:p>
            <w:pPr>
              <w:pStyle w:val="Normal"/>
              <w:jc w:val="center"/>
              <w:rPr>
                <w:b/>
                <w:color w:val="000000"/>
                <w:sz w:val="22"/>
                <w:lang w:val="en-AU" w:eastAsia="en-US"/>
              </w:rPr>
            </w:pPr>
            <w:r>
              <w:rPr>
                <w:b/>
                <w:color w:val="000000"/>
                <w:sz w:val="22"/>
                <w:lang w:val="en-AU" w:eastAsia="en-US"/>
              </w:rPr>
              <w:t>LATEST CLOSE</w:t>
            </w:r>
          </w:p>
        </w:tc>
        <w:tc>
          <w:tcPr>
            <w:tcW w:w="1266" w:type="dxa"/>
            <w:tcBorders/>
          </w:tcPr>
          <w:p>
            <w:pPr>
              <w:pStyle w:val="Normal"/>
              <w:jc w:val="center"/>
              <w:rPr>
                <w:b/>
                <w:color w:val="000000"/>
                <w:sz w:val="22"/>
                <w:lang w:val="en-AU" w:eastAsia="en-US"/>
              </w:rPr>
            </w:pPr>
            <w:r>
              <w:rPr>
                <w:b/>
                <w:color w:val="000000"/>
                <w:sz w:val="22"/>
                <w:lang w:val="en-AU" w:eastAsia="en-US"/>
              </w:rPr>
              <w:t>HIGH</w:t>
            </w:r>
          </w:p>
        </w:tc>
        <w:tc>
          <w:tcPr>
            <w:tcW w:w="1418" w:type="dxa"/>
            <w:tcBorders/>
          </w:tcPr>
          <w:p>
            <w:pPr>
              <w:pStyle w:val="Normal"/>
              <w:jc w:val="center"/>
              <w:rPr>
                <w:b/>
                <w:color w:val="000000"/>
                <w:sz w:val="22"/>
                <w:lang w:val="en-AU" w:eastAsia="en-US"/>
              </w:rPr>
            </w:pPr>
            <w:r>
              <w:rPr>
                <w:b/>
                <w:color w:val="000000"/>
                <w:sz w:val="22"/>
                <w:lang w:val="en-AU" w:eastAsia="en-US"/>
              </w:rPr>
              <w:t>LOW</w:t>
            </w:r>
          </w:p>
        </w:tc>
        <w:tc>
          <w:tcPr>
            <w:tcW w:w="1417" w:type="dxa"/>
            <w:tcBorders/>
          </w:tcPr>
          <w:p>
            <w:pPr>
              <w:pStyle w:val="Normal"/>
              <w:jc w:val="center"/>
              <w:rPr>
                <w:b/>
                <w:color w:val="000000"/>
                <w:sz w:val="22"/>
                <w:lang w:val="en-AU" w:eastAsia="en-US"/>
              </w:rPr>
            </w:pPr>
            <w:r>
              <w:rPr>
                <w:b/>
                <w:color w:val="000000"/>
                <w:sz w:val="22"/>
                <w:lang w:val="en-AU" w:eastAsia="en-US"/>
              </w:rPr>
              <w:t>CHANGE</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S&amp;P 500 INDEX</w:t>
            </w:r>
          </w:p>
        </w:tc>
        <w:tc>
          <w:tcPr>
            <w:tcW w:w="1994" w:type="dxa"/>
            <w:tcBorders/>
          </w:tcPr>
          <w:p>
            <w:pPr>
              <w:pStyle w:val="Normal"/>
              <w:jc w:val="center"/>
              <w:rPr>
                <w:color w:val="000000"/>
                <w:sz w:val="22"/>
                <w:lang w:val="en-AU" w:eastAsia="en-US"/>
              </w:rPr>
            </w:pPr>
            <w:r>
              <w:rPr>
                <w:color w:val="000000"/>
                <w:sz w:val="22"/>
                <w:lang w:val="en-AU" w:eastAsia="en-US"/>
              </w:rPr>
              <w:t>1508</w:t>
            </w:r>
          </w:p>
        </w:tc>
        <w:tc>
          <w:tcPr>
            <w:tcW w:w="1266" w:type="dxa"/>
            <w:tcBorders/>
          </w:tcPr>
          <w:p>
            <w:pPr>
              <w:pStyle w:val="Normal"/>
              <w:jc w:val="center"/>
              <w:rPr>
                <w:color w:val="000000"/>
                <w:sz w:val="22"/>
                <w:lang w:val="en-AU" w:eastAsia="en-US"/>
              </w:rPr>
            </w:pPr>
            <w:r>
              <w:rPr>
                <w:color w:val="000000"/>
                <w:sz w:val="22"/>
                <w:lang w:val="en-AU" w:eastAsia="en-US"/>
              </w:rPr>
              <w:t>1511</w:t>
            </w:r>
          </w:p>
        </w:tc>
        <w:tc>
          <w:tcPr>
            <w:tcW w:w="1418" w:type="dxa"/>
            <w:tcBorders/>
          </w:tcPr>
          <w:p>
            <w:pPr>
              <w:pStyle w:val="Normal"/>
              <w:jc w:val="center"/>
              <w:rPr>
                <w:color w:val="000000"/>
                <w:sz w:val="22"/>
                <w:lang w:val="en-AU" w:eastAsia="en-US"/>
              </w:rPr>
            </w:pPr>
            <w:r>
              <w:rPr>
                <w:color w:val="000000"/>
                <w:sz w:val="22"/>
                <w:lang w:val="en-AU" w:eastAsia="en-US"/>
              </w:rPr>
              <w:t>1501</w:t>
            </w:r>
          </w:p>
        </w:tc>
        <w:tc>
          <w:tcPr>
            <w:tcW w:w="1417" w:type="dxa"/>
            <w:tcBorders/>
          </w:tcPr>
          <w:p>
            <w:pPr>
              <w:pStyle w:val="Normal"/>
              <w:jc w:val="center"/>
              <w:rPr>
                <w:color w:val="000000"/>
                <w:sz w:val="22"/>
                <w:lang w:val="en-AU" w:eastAsia="en-US"/>
              </w:rPr>
            </w:pPr>
            <w:r>
              <w:rPr>
                <w:color w:val="000000"/>
                <w:sz w:val="22"/>
                <w:lang w:val="en-AU" w:eastAsia="en-US"/>
              </w:rPr>
              <w:t>0.2%</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DOW JONES INDUS. AVG</w:t>
            </w:r>
          </w:p>
        </w:tc>
        <w:tc>
          <w:tcPr>
            <w:tcW w:w="1994" w:type="dxa"/>
            <w:tcBorders/>
          </w:tcPr>
          <w:p>
            <w:pPr>
              <w:pStyle w:val="Normal"/>
              <w:jc w:val="center"/>
              <w:rPr>
                <w:color w:val="000000"/>
                <w:sz w:val="22"/>
                <w:lang w:val="en-AU" w:eastAsia="en-US"/>
              </w:rPr>
            </w:pPr>
            <w:r>
              <w:rPr>
                <w:color w:val="000000"/>
                <w:sz w:val="22"/>
                <w:lang w:val="en-AU" w:eastAsia="en-US"/>
              </w:rPr>
              <w:t>11183</w:t>
            </w:r>
          </w:p>
        </w:tc>
        <w:tc>
          <w:tcPr>
            <w:tcW w:w="1266" w:type="dxa"/>
            <w:tcBorders/>
          </w:tcPr>
          <w:p>
            <w:pPr>
              <w:pStyle w:val="Normal"/>
              <w:jc w:val="center"/>
              <w:rPr>
                <w:color w:val="000000"/>
                <w:sz w:val="22"/>
                <w:lang w:val="en-AU" w:eastAsia="en-US"/>
              </w:rPr>
            </w:pPr>
            <w:r>
              <w:rPr>
                <w:color w:val="000000"/>
                <w:sz w:val="22"/>
                <w:lang w:val="en-AU" w:eastAsia="en-US"/>
              </w:rPr>
              <w:t>11198</w:t>
            </w:r>
          </w:p>
        </w:tc>
        <w:tc>
          <w:tcPr>
            <w:tcW w:w="1418" w:type="dxa"/>
            <w:tcBorders/>
          </w:tcPr>
          <w:p>
            <w:pPr>
              <w:pStyle w:val="Normal"/>
              <w:jc w:val="center"/>
              <w:rPr>
                <w:color w:val="000000"/>
                <w:sz w:val="22"/>
                <w:lang w:val="en-AU" w:eastAsia="en-US"/>
              </w:rPr>
            </w:pPr>
            <w:r>
              <w:rPr>
                <w:color w:val="000000"/>
                <w:sz w:val="22"/>
                <w:lang w:val="en-AU" w:eastAsia="en-US"/>
              </w:rPr>
              <w:t>11120</w:t>
            </w:r>
          </w:p>
        </w:tc>
        <w:tc>
          <w:tcPr>
            <w:tcW w:w="1417" w:type="dxa"/>
            <w:tcBorders/>
          </w:tcPr>
          <w:p>
            <w:pPr>
              <w:pStyle w:val="Normal"/>
              <w:jc w:val="center"/>
              <w:rPr>
                <w:color w:val="000000"/>
                <w:sz w:val="22"/>
                <w:lang w:val="en-AU" w:eastAsia="en-US"/>
              </w:rPr>
            </w:pPr>
            <w:r>
              <w:rPr>
                <w:color w:val="000000"/>
                <w:sz w:val="22"/>
                <w:lang w:val="en-AU" w:eastAsia="en-US"/>
              </w:rPr>
              <w:t>0.3%</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NASDAQ COMPOSITE INDEX</w:t>
            </w:r>
          </w:p>
        </w:tc>
        <w:tc>
          <w:tcPr>
            <w:tcW w:w="1994" w:type="dxa"/>
            <w:tcBorders/>
          </w:tcPr>
          <w:p>
            <w:pPr>
              <w:pStyle w:val="Normal"/>
              <w:jc w:val="center"/>
              <w:rPr>
                <w:color w:val="000000"/>
                <w:sz w:val="22"/>
                <w:lang w:val="en-AU" w:eastAsia="en-US"/>
              </w:rPr>
            </w:pPr>
            <w:r>
              <w:rPr>
                <w:color w:val="000000"/>
                <w:sz w:val="22"/>
                <w:lang w:val="en-AU" w:eastAsia="en-US"/>
              </w:rPr>
              <w:t>4053</w:t>
            </w:r>
          </w:p>
        </w:tc>
        <w:tc>
          <w:tcPr>
            <w:tcW w:w="1266" w:type="dxa"/>
            <w:tcBorders/>
          </w:tcPr>
          <w:p>
            <w:pPr>
              <w:pStyle w:val="Normal"/>
              <w:jc w:val="center"/>
              <w:rPr>
                <w:color w:val="000000"/>
                <w:sz w:val="22"/>
                <w:lang w:val="en-AU" w:eastAsia="en-US"/>
              </w:rPr>
            </w:pPr>
            <w:r>
              <w:rPr>
                <w:color w:val="000000"/>
                <w:sz w:val="22"/>
                <w:lang w:val="en-AU" w:eastAsia="en-US"/>
              </w:rPr>
              <w:t>4055</w:t>
            </w:r>
          </w:p>
        </w:tc>
        <w:tc>
          <w:tcPr>
            <w:tcW w:w="1418" w:type="dxa"/>
            <w:tcBorders/>
          </w:tcPr>
          <w:p>
            <w:pPr>
              <w:pStyle w:val="Normal"/>
              <w:jc w:val="center"/>
              <w:rPr>
                <w:color w:val="000000"/>
                <w:sz w:val="22"/>
                <w:lang w:val="en-AU" w:eastAsia="en-US"/>
              </w:rPr>
            </w:pPr>
            <w:r>
              <w:rPr>
                <w:color w:val="000000"/>
                <w:sz w:val="22"/>
                <w:lang w:val="en-AU" w:eastAsia="en-US"/>
              </w:rPr>
              <w:t>4005</w:t>
            </w:r>
          </w:p>
        </w:tc>
        <w:tc>
          <w:tcPr>
            <w:tcW w:w="1417" w:type="dxa"/>
            <w:tcBorders/>
          </w:tcPr>
          <w:p>
            <w:pPr>
              <w:pStyle w:val="Normal"/>
              <w:jc w:val="center"/>
              <w:rPr>
                <w:color w:val="000000"/>
                <w:sz w:val="22"/>
                <w:lang w:val="en-AU" w:eastAsia="en-US"/>
              </w:rPr>
            </w:pPr>
            <w:r>
              <w:rPr>
                <w:color w:val="000000"/>
                <w:sz w:val="22"/>
                <w:lang w:val="en-AU" w:eastAsia="en-US"/>
              </w:rPr>
              <w:t>1.1%</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FTSE 100 INDEX</w:t>
            </w:r>
          </w:p>
        </w:tc>
        <w:tc>
          <w:tcPr>
            <w:tcW w:w="1994" w:type="dxa"/>
            <w:tcBorders/>
          </w:tcPr>
          <w:p>
            <w:pPr>
              <w:pStyle w:val="Normal"/>
              <w:jc w:val="center"/>
              <w:rPr>
                <w:color w:val="000000"/>
                <w:sz w:val="22"/>
                <w:lang w:val="en-AU" w:eastAsia="en-US"/>
              </w:rPr>
            </w:pPr>
            <w:r>
              <w:rPr>
                <w:color w:val="000000"/>
                <w:sz w:val="22"/>
                <w:lang w:val="en-AU" w:eastAsia="en-US"/>
              </w:rPr>
              <w:t>6557</w:t>
            </w:r>
          </w:p>
        </w:tc>
        <w:tc>
          <w:tcPr>
            <w:tcW w:w="1266" w:type="dxa"/>
            <w:tcBorders/>
          </w:tcPr>
          <w:p>
            <w:pPr>
              <w:pStyle w:val="Normal"/>
              <w:jc w:val="center"/>
              <w:rPr>
                <w:color w:val="000000"/>
                <w:sz w:val="22"/>
                <w:lang w:val="en-AU" w:eastAsia="en-US"/>
              </w:rPr>
            </w:pPr>
            <w:r>
              <w:rPr>
                <w:color w:val="000000"/>
                <w:sz w:val="22"/>
                <w:lang w:val="en-AU" w:eastAsia="en-US"/>
              </w:rPr>
              <w:t>6606</w:t>
            </w:r>
          </w:p>
        </w:tc>
        <w:tc>
          <w:tcPr>
            <w:tcW w:w="1418" w:type="dxa"/>
            <w:tcBorders/>
          </w:tcPr>
          <w:p>
            <w:pPr>
              <w:pStyle w:val="Normal"/>
              <w:jc w:val="center"/>
              <w:rPr>
                <w:color w:val="000000"/>
                <w:sz w:val="22"/>
                <w:lang w:val="en-AU" w:eastAsia="en-US"/>
              </w:rPr>
            </w:pPr>
            <w:r>
              <w:rPr>
                <w:color w:val="000000"/>
                <w:sz w:val="22"/>
                <w:lang w:val="en-AU" w:eastAsia="en-US"/>
              </w:rPr>
              <w:t>6547</w:t>
            </w:r>
          </w:p>
        </w:tc>
        <w:tc>
          <w:tcPr>
            <w:tcW w:w="1417" w:type="dxa"/>
            <w:tcBorders/>
          </w:tcPr>
          <w:p>
            <w:pPr>
              <w:pStyle w:val="Normal"/>
              <w:jc w:val="center"/>
              <w:rPr>
                <w:color w:val="000000"/>
                <w:sz w:val="22"/>
                <w:lang w:val="en-AU" w:eastAsia="en-US"/>
              </w:rPr>
            </w:pPr>
            <w:r>
              <w:rPr>
                <w:color w:val="000000"/>
                <w:sz w:val="22"/>
                <w:lang w:val="en-AU" w:eastAsia="en-US"/>
              </w:rPr>
              <w:t>-0.1%</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CAC 40 INDEX</w:t>
            </w:r>
          </w:p>
        </w:tc>
        <w:tc>
          <w:tcPr>
            <w:tcW w:w="1994" w:type="dxa"/>
            <w:tcBorders/>
          </w:tcPr>
          <w:p>
            <w:pPr>
              <w:pStyle w:val="Normal"/>
              <w:jc w:val="center"/>
              <w:rPr>
                <w:color w:val="000000"/>
                <w:sz w:val="22"/>
                <w:lang w:val="en-AU" w:eastAsia="en-US"/>
              </w:rPr>
            </w:pPr>
            <w:r>
              <w:rPr>
                <w:color w:val="000000"/>
                <w:sz w:val="22"/>
                <w:lang w:val="en-AU" w:eastAsia="en-US"/>
              </w:rPr>
              <w:t>6462</w:t>
            </w:r>
          </w:p>
        </w:tc>
        <w:tc>
          <w:tcPr>
            <w:tcW w:w="1266" w:type="dxa"/>
            <w:tcBorders/>
          </w:tcPr>
          <w:p>
            <w:pPr>
              <w:pStyle w:val="Normal"/>
              <w:jc w:val="center"/>
              <w:rPr>
                <w:color w:val="000000"/>
                <w:sz w:val="22"/>
                <w:lang w:val="en-AU" w:eastAsia="en-US"/>
              </w:rPr>
            </w:pPr>
            <w:r>
              <w:rPr>
                <w:color w:val="000000"/>
                <w:sz w:val="22"/>
                <w:lang w:val="en-AU" w:eastAsia="en-US"/>
              </w:rPr>
              <w:t>6523</w:t>
            </w:r>
          </w:p>
        </w:tc>
        <w:tc>
          <w:tcPr>
            <w:tcW w:w="1418" w:type="dxa"/>
            <w:tcBorders/>
          </w:tcPr>
          <w:p>
            <w:pPr>
              <w:pStyle w:val="Normal"/>
              <w:jc w:val="center"/>
              <w:rPr>
                <w:color w:val="000000"/>
                <w:sz w:val="22"/>
                <w:lang w:val="en-AU" w:eastAsia="en-US"/>
              </w:rPr>
            </w:pPr>
            <w:r>
              <w:rPr>
                <w:color w:val="000000"/>
                <w:sz w:val="22"/>
                <w:lang w:val="en-AU" w:eastAsia="en-US"/>
              </w:rPr>
              <w:t>6455</w:t>
            </w:r>
          </w:p>
        </w:tc>
        <w:tc>
          <w:tcPr>
            <w:tcW w:w="1417" w:type="dxa"/>
            <w:tcBorders/>
          </w:tcPr>
          <w:p>
            <w:pPr>
              <w:pStyle w:val="Normal"/>
              <w:jc w:val="center"/>
              <w:rPr>
                <w:color w:val="000000"/>
                <w:sz w:val="22"/>
                <w:lang w:val="en-AU" w:eastAsia="en-US"/>
              </w:rPr>
            </w:pPr>
            <w:r>
              <w:rPr>
                <w:color w:val="000000"/>
                <w:sz w:val="22"/>
                <w:lang w:val="en-AU" w:eastAsia="en-US"/>
              </w:rPr>
              <w:t>-0.6%</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DAX INDEX</w:t>
            </w:r>
          </w:p>
        </w:tc>
        <w:tc>
          <w:tcPr>
            <w:tcW w:w="1994" w:type="dxa"/>
            <w:tcBorders/>
          </w:tcPr>
          <w:p>
            <w:pPr>
              <w:pStyle w:val="Normal"/>
              <w:jc w:val="center"/>
              <w:rPr>
                <w:color w:val="000000"/>
                <w:sz w:val="22"/>
                <w:lang w:val="en-AU" w:eastAsia="en-US"/>
              </w:rPr>
            </w:pPr>
            <w:r>
              <w:rPr>
                <w:color w:val="000000"/>
                <w:sz w:val="22"/>
                <w:lang w:val="en-AU" w:eastAsia="en-US"/>
              </w:rPr>
              <w:t>7230</w:t>
            </w:r>
          </w:p>
        </w:tc>
        <w:tc>
          <w:tcPr>
            <w:tcW w:w="1266" w:type="dxa"/>
            <w:tcBorders/>
          </w:tcPr>
          <w:p>
            <w:pPr>
              <w:pStyle w:val="Normal"/>
              <w:jc w:val="center"/>
              <w:rPr>
                <w:color w:val="000000"/>
                <w:sz w:val="22"/>
                <w:lang w:val="en-AU" w:eastAsia="en-US"/>
              </w:rPr>
            </w:pPr>
            <w:r>
              <w:rPr>
                <w:color w:val="000000"/>
                <w:sz w:val="22"/>
                <w:lang w:val="en-AU" w:eastAsia="en-US"/>
              </w:rPr>
              <w:t>7279</w:t>
            </w:r>
          </w:p>
        </w:tc>
        <w:tc>
          <w:tcPr>
            <w:tcW w:w="1418" w:type="dxa"/>
            <w:tcBorders/>
          </w:tcPr>
          <w:p>
            <w:pPr>
              <w:pStyle w:val="Normal"/>
              <w:jc w:val="center"/>
              <w:rPr>
                <w:color w:val="000000"/>
                <w:sz w:val="22"/>
                <w:lang w:val="en-AU" w:eastAsia="en-US"/>
              </w:rPr>
            </w:pPr>
            <w:r>
              <w:rPr>
                <w:color w:val="000000"/>
                <w:sz w:val="22"/>
                <w:lang w:val="en-AU" w:eastAsia="en-US"/>
              </w:rPr>
              <w:t>7213</w:t>
            </w:r>
          </w:p>
        </w:tc>
        <w:tc>
          <w:tcPr>
            <w:tcW w:w="1417" w:type="dxa"/>
            <w:tcBorders/>
          </w:tcPr>
          <w:p>
            <w:pPr>
              <w:pStyle w:val="Normal"/>
              <w:jc w:val="center"/>
              <w:rPr>
                <w:color w:val="000000"/>
                <w:sz w:val="22"/>
                <w:lang w:val="en-AU" w:eastAsia="en-US"/>
              </w:rPr>
            </w:pPr>
            <w:r>
              <w:rPr>
                <w:color w:val="000000"/>
                <w:sz w:val="22"/>
                <w:lang w:val="en-AU" w:eastAsia="en-US"/>
              </w:rPr>
              <w:t>0.0%</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IBEX 35 INDEX</w:t>
            </w:r>
          </w:p>
        </w:tc>
        <w:tc>
          <w:tcPr>
            <w:tcW w:w="1994" w:type="dxa"/>
            <w:tcBorders/>
          </w:tcPr>
          <w:p>
            <w:pPr>
              <w:pStyle w:val="Normal"/>
              <w:jc w:val="center"/>
              <w:rPr>
                <w:color w:val="000000"/>
                <w:sz w:val="22"/>
                <w:lang w:val="en-AU" w:eastAsia="en-US"/>
              </w:rPr>
            </w:pPr>
            <w:r>
              <w:rPr>
                <w:color w:val="000000"/>
                <w:sz w:val="22"/>
                <w:lang w:val="en-AU" w:eastAsia="en-US"/>
              </w:rPr>
              <w:t>10720</w:t>
            </w:r>
          </w:p>
        </w:tc>
        <w:tc>
          <w:tcPr>
            <w:tcW w:w="1266" w:type="dxa"/>
            <w:tcBorders/>
          </w:tcPr>
          <w:p>
            <w:pPr>
              <w:pStyle w:val="Normal"/>
              <w:jc w:val="center"/>
              <w:rPr>
                <w:color w:val="000000"/>
                <w:sz w:val="22"/>
                <w:lang w:val="en-AU" w:eastAsia="en-US"/>
              </w:rPr>
            </w:pPr>
            <w:r>
              <w:rPr>
                <w:color w:val="000000"/>
                <w:sz w:val="22"/>
                <w:lang w:val="en-AU" w:eastAsia="en-US"/>
              </w:rPr>
              <w:t>11151</w:t>
            </w:r>
          </w:p>
        </w:tc>
        <w:tc>
          <w:tcPr>
            <w:tcW w:w="1418" w:type="dxa"/>
            <w:tcBorders/>
          </w:tcPr>
          <w:p>
            <w:pPr>
              <w:pStyle w:val="Normal"/>
              <w:jc w:val="center"/>
              <w:rPr>
                <w:color w:val="000000"/>
                <w:sz w:val="22"/>
                <w:lang w:val="en-AU" w:eastAsia="en-US"/>
              </w:rPr>
            </w:pPr>
            <w:r>
              <w:rPr>
                <w:color w:val="000000"/>
                <w:sz w:val="22"/>
                <w:lang w:val="en-AU" w:eastAsia="en-US"/>
              </w:rPr>
              <w:t>10714</w:t>
            </w:r>
          </w:p>
        </w:tc>
        <w:tc>
          <w:tcPr>
            <w:tcW w:w="1417" w:type="dxa"/>
            <w:tcBorders/>
          </w:tcPr>
          <w:p>
            <w:pPr>
              <w:pStyle w:val="Normal"/>
              <w:jc w:val="center"/>
              <w:rPr>
                <w:color w:val="000000"/>
                <w:sz w:val="22"/>
                <w:lang w:val="en-AU" w:eastAsia="en-US"/>
              </w:rPr>
            </w:pPr>
            <w:r>
              <w:rPr>
                <w:color w:val="000000"/>
                <w:sz w:val="22"/>
                <w:lang w:val="en-AU" w:eastAsia="en-US"/>
              </w:rPr>
              <w:t>-0.7%</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MILAN MIB30 INDEX</w:t>
            </w:r>
          </w:p>
        </w:tc>
        <w:tc>
          <w:tcPr>
            <w:tcW w:w="1994" w:type="dxa"/>
            <w:tcBorders/>
          </w:tcPr>
          <w:p>
            <w:pPr>
              <w:pStyle w:val="Normal"/>
              <w:jc w:val="center"/>
              <w:rPr>
                <w:color w:val="000000"/>
                <w:sz w:val="22"/>
                <w:lang w:val="en-AU" w:eastAsia="en-US"/>
              </w:rPr>
            </w:pPr>
            <w:r>
              <w:rPr>
                <w:color w:val="000000"/>
                <w:sz w:val="22"/>
                <w:lang w:val="en-AU" w:eastAsia="en-US"/>
              </w:rPr>
              <w:t>46922</w:t>
            </w:r>
          </w:p>
        </w:tc>
        <w:tc>
          <w:tcPr>
            <w:tcW w:w="1266" w:type="dxa"/>
            <w:tcBorders/>
          </w:tcPr>
          <w:p>
            <w:pPr>
              <w:pStyle w:val="Normal"/>
              <w:jc w:val="center"/>
              <w:rPr>
                <w:color w:val="000000"/>
                <w:sz w:val="22"/>
                <w:lang w:val="en-AU" w:eastAsia="en-US"/>
              </w:rPr>
            </w:pPr>
            <w:r>
              <w:rPr>
                <w:color w:val="000000"/>
                <w:sz w:val="22"/>
                <w:lang w:val="en-AU" w:eastAsia="en-US"/>
              </w:rPr>
              <w:t>47336</w:t>
            </w:r>
          </w:p>
        </w:tc>
        <w:tc>
          <w:tcPr>
            <w:tcW w:w="1418" w:type="dxa"/>
            <w:tcBorders/>
          </w:tcPr>
          <w:p>
            <w:pPr>
              <w:pStyle w:val="Normal"/>
              <w:jc w:val="center"/>
              <w:rPr>
                <w:color w:val="000000"/>
                <w:sz w:val="22"/>
                <w:lang w:val="en-AU" w:eastAsia="en-US"/>
              </w:rPr>
            </w:pPr>
            <w:r>
              <w:rPr>
                <w:color w:val="000000"/>
                <w:sz w:val="22"/>
                <w:lang w:val="en-AU" w:eastAsia="en-US"/>
              </w:rPr>
              <w:t>46893</w:t>
            </w:r>
          </w:p>
        </w:tc>
        <w:tc>
          <w:tcPr>
            <w:tcW w:w="1417" w:type="dxa"/>
            <w:tcBorders/>
          </w:tcPr>
          <w:p>
            <w:pPr>
              <w:pStyle w:val="Normal"/>
              <w:jc w:val="center"/>
              <w:rPr>
                <w:color w:val="000000"/>
                <w:sz w:val="22"/>
                <w:lang w:val="en-AU" w:eastAsia="en-US"/>
              </w:rPr>
            </w:pPr>
            <w:r>
              <w:rPr>
                <w:color w:val="000000"/>
                <w:sz w:val="22"/>
                <w:lang w:val="en-AU" w:eastAsia="en-US"/>
              </w:rPr>
              <w:t>-0.6%</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SWISS MARKET INDEX</w:t>
            </w:r>
          </w:p>
        </w:tc>
        <w:tc>
          <w:tcPr>
            <w:tcW w:w="1994" w:type="dxa"/>
            <w:tcBorders/>
          </w:tcPr>
          <w:p>
            <w:pPr>
              <w:pStyle w:val="Normal"/>
              <w:jc w:val="center"/>
              <w:rPr>
                <w:color w:val="000000"/>
                <w:sz w:val="22"/>
                <w:lang w:val="en-AU" w:eastAsia="en-US"/>
              </w:rPr>
            </w:pPr>
            <w:r>
              <w:rPr>
                <w:color w:val="000000"/>
                <w:sz w:val="22"/>
                <w:lang w:val="en-AU" w:eastAsia="en-US"/>
              </w:rPr>
              <w:t>8350</w:t>
            </w:r>
          </w:p>
        </w:tc>
        <w:tc>
          <w:tcPr>
            <w:tcW w:w="1266" w:type="dxa"/>
            <w:tcBorders/>
          </w:tcPr>
          <w:p>
            <w:pPr>
              <w:pStyle w:val="Normal"/>
              <w:jc w:val="center"/>
              <w:rPr>
                <w:color w:val="000000"/>
                <w:sz w:val="22"/>
                <w:lang w:val="en-AU" w:eastAsia="en-US"/>
              </w:rPr>
            </w:pPr>
            <w:r>
              <w:rPr>
                <w:color w:val="000000"/>
                <w:sz w:val="22"/>
                <w:lang w:val="en-AU" w:eastAsia="en-US"/>
              </w:rPr>
              <w:t>8408</w:t>
            </w:r>
          </w:p>
        </w:tc>
        <w:tc>
          <w:tcPr>
            <w:tcW w:w="1418" w:type="dxa"/>
            <w:tcBorders/>
          </w:tcPr>
          <w:p>
            <w:pPr>
              <w:pStyle w:val="Normal"/>
              <w:jc w:val="center"/>
              <w:rPr>
                <w:color w:val="000000"/>
                <w:sz w:val="22"/>
                <w:lang w:val="en-AU" w:eastAsia="en-US"/>
              </w:rPr>
            </w:pPr>
            <w:r>
              <w:rPr>
                <w:color w:val="000000"/>
                <w:sz w:val="22"/>
                <w:lang w:val="en-AU" w:eastAsia="en-US"/>
              </w:rPr>
              <w:t>8342</w:t>
            </w:r>
          </w:p>
        </w:tc>
        <w:tc>
          <w:tcPr>
            <w:tcW w:w="1417" w:type="dxa"/>
            <w:tcBorders/>
          </w:tcPr>
          <w:p>
            <w:pPr>
              <w:pStyle w:val="Normal"/>
              <w:jc w:val="center"/>
              <w:rPr>
                <w:color w:val="000000"/>
                <w:sz w:val="22"/>
                <w:lang w:val="en-AU" w:eastAsia="en-US"/>
              </w:rPr>
            </w:pPr>
            <w:r>
              <w:rPr>
                <w:color w:val="000000"/>
                <w:sz w:val="22"/>
                <w:lang w:val="en-AU" w:eastAsia="en-US"/>
              </w:rPr>
              <w:t>-0.3%</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AMSTERDAM EXCHANGES INDX</w:t>
            </w:r>
          </w:p>
        </w:tc>
        <w:tc>
          <w:tcPr>
            <w:tcW w:w="1994" w:type="dxa"/>
            <w:tcBorders/>
          </w:tcPr>
          <w:p>
            <w:pPr>
              <w:pStyle w:val="Normal"/>
              <w:jc w:val="center"/>
              <w:rPr>
                <w:color w:val="000000"/>
                <w:sz w:val="22"/>
                <w:lang w:val="en-AU" w:eastAsia="en-US"/>
              </w:rPr>
            </w:pPr>
            <w:r>
              <w:rPr>
                <w:color w:val="000000"/>
                <w:sz w:val="22"/>
                <w:lang w:val="en-AU" w:eastAsia="en-US"/>
              </w:rPr>
              <w:t>696</w:t>
            </w:r>
          </w:p>
        </w:tc>
        <w:tc>
          <w:tcPr>
            <w:tcW w:w="1266" w:type="dxa"/>
            <w:tcBorders/>
          </w:tcPr>
          <w:p>
            <w:pPr>
              <w:pStyle w:val="Normal"/>
              <w:jc w:val="center"/>
              <w:rPr>
                <w:color w:val="000000"/>
                <w:sz w:val="22"/>
                <w:lang w:val="en-AU" w:eastAsia="en-US"/>
              </w:rPr>
            </w:pPr>
            <w:r>
              <w:rPr>
                <w:color w:val="000000"/>
                <w:sz w:val="22"/>
                <w:lang w:val="en-AU" w:eastAsia="en-US"/>
              </w:rPr>
              <w:t>700</w:t>
            </w:r>
          </w:p>
        </w:tc>
        <w:tc>
          <w:tcPr>
            <w:tcW w:w="1418" w:type="dxa"/>
            <w:tcBorders/>
          </w:tcPr>
          <w:p>
            <w:pPr>
              <w:pStyle w:val="Normal"/>
              <w:jc w:val="center"/>
              <w:rPr>
                <w:color w:val="000000"/>
                <w:sz w:val="22"/>
                <w:lang w:val="en-AU" w:eastAsia="en-US"/>
              </w:rPr>
            </w:pPr>
            <w:r>
              <w:rPr>
                <w:color w:val="000000"/>
                <w:sz w:val="22"/>
                <w:lang w:val="en-AU" w:eastAsia="en-US"/>
              </w:rPr>
              <w:t>696</w:t>
            </w:r>
          </w:p>
        </w:tc>
        <w:tc>
          <w:tcPr>
            <w:tcW w:w="1417" w:type="dxa"/>
            <w:tcBorders/>
          </w:tcPr>
          <w:p>
            <w:pPr>
              <w:pStyle w:val="Normal"/>
              <w:jc w:val="center"/>
              <w:rPr>
                <w:color w:val="000000"/>
                <w:sz w:val="22"/>
                <w:lang w:val="en-AU" w:eastAsia="en-US"/>
              </w:rPr>
            </w:pPr>
            <w:r>
              <w:rPr>
                <w:color w:val="000000"/>
                <w:sz w:val="22"/>
                <w:lang w:val="en-AU" w:eastAsia="en-US"/>
              </w:rPr>
              <w:t>0.1%</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AUSTRALIAN ALL ORDINARIES INDEX</w:t>
            </w:r>
          </w:p>
        </w:tc>
        <w:tc>
          <w:tcPr>
            <w:tcW w:w="1994" w:type="dxa"/>
            <w:tcBorders/>
          </w:tcPr>
          <w:p>
            <w:pPr>
              <w:pStyle w:val="Normal"/>
              <w:jc w:val="center"/>
              <w:rPr>
                <w:color w:val="000000"/>
                <w:sz w:val="22"/>
                <w:lang w:val="en-AU" w:eastAsia="en-US"/>
              </w:rPr>
            </w:pPr>
            <w:r>
              <w:rPr>
                <w:color w:val="000000"/>
                <w:sz w:val="22"/>
                <w:lang w:val="en-AU" w:eastAsia="en-US"/>
              </w:rPr>
              <w:t>3326</w:t>
            </w:r>
          </w:p>
        </w:tc>
        <w:tc>
          <w:tcPr>
            <w:tcW w:w="1266" w:type="dxa"/>
            <w:tcBorders/>
          </w:tcPr>
          <w:p>
            <w:pPr>
              <w:pStyle w:val="Normal"/>
              <w:jc w:val="center"/>
              <w:rPr>
                <w:color w:val="000000"/>
                <w:sz w:val="22"/>
                <w:lang w:val="en-AU" w:eastAsia="en-US"/>
              </w:rPr>
            </w:pPr>
            <w:r>
              <w:rPr>
                <w:color w:val="000000"/>
                <w:sz w:val="22"/>
                <w:lang w:val="en-AU" w:eastAsia="en-US"/>
              </w:rPr>
              <w:t>3344</w:t>
            </w:r>
          </w:p>
        </w:tc>
        <w:tc>
          <w:tcPr>
            <w:tcW w:w="1418" w:type="dxa"/>
            <w:tcBorders/>
          </w:tcPr>
          <w:p>
            <w:pPr>
              <w:pStyle w:val="Normal"/>
              <w:jc w:val="center"/>
              <w:rPr>
                <w:color w:val="000000"/>
                <w:sz w:val="22"/>
                <w:lang w:val="en-AU" w:eastAsia="en-US"/>
              </w:rPr>
            </w:pPr>
            <w:r>
              <w:rPr>
                <w:color w:val="000000"/>
                <w:sz w:val="22"/>
                <w:lang w:val="en-AU" w:eastAsia="en-US"/>
              </w:rPr>
              <w:t>3320</w:t>
            </w:r>
          </w:p>
        </w:tc>
        <w:tc>
          <w:tcPr>
            <w:tcW w:w="1417" w:type="dxa"/>
            <w:tcBorders/>
          </w:tcPr>
          <w:p>
            <w:pPr>
              <w:pStyle w:val="Normal"/>
              <w:jc w:val="center"/>
              <w:rPr>
                <w:color w:val="000000"/>
                <w:sz w:val="22"/>
                <w:lang w:val="en-AU" w:eastAsia="en-US"/>
              </w:rPr>
            </w:pPr>
            <w:r>
              <w:rPr>
                <w:color w:val="000000"/>
                <w:sz w:val="22"/>
                <w:lang w:val="en-AU" w:eastAsia="en-US"/>
              </w:rPr>
              <w:t>-0.1%</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NIKKEI 225 INDEX</w:t>
            </w:r>
          </w:p>
        </w:tc>
        <w:tc>
          <w:tcPr>
            <w:tcW w:w="1994" w:type="dxa"/>
            <w:tcBorders/>
          </w:tcPr>
          <w:p>
            <w:pPr>
              <w:pStyle w:val="Normal"/>
              <w:jc w:val="center"/>
              <w:rPr>
                <w:color w:val="000000"/>
                <w:sz w:val="22"/>
                <w:lang w:val="en-AU" w:eastAsia="en-US"/>
              </w:rPr>
            </w:pPr>
            <w:r>
              <w:rPr>
                <w:color w:val="000000"/>
                <w:sz w:val="22"/>
                <w:lang w:val="en-AU" w:eastAsia="en-US"/>
              </w:rPr>
              <w:t>16911</w:t>
            </w:r>
          </w:p>
        </w:tc>
        <w:tc>
          <w:tcPr>
            <w:tcW w:w="1266" w:type="dxa"/>
            <w:tcBorders/>
          </w:tcPr>
          <w:p>
            <w:pPr>
              <w:pStyle w:val="Normal"/>
              <w:jc w:val="center"/>
              <w:rPr>
                <w:color w:val="000000"/>
                <w:sz w:val="22"/>
                <w:lang w:val="en-AU" w:eastAsia="en-US"/>
              </w:rPr>
            </w:pPr>
            <w:r>
              <w:rPr>
                <w:color w:val="000000"/>
                <w:sz w:val="22"/>
                <w:lang w:val="en-AU" w:eastAsia="en-US"/>
              </w:rPr>
              <w:t>16778</w:t>
            </w:r>
          </w:p>
        </w:tc>
        <w:tc>
          <w:tcPr>
            <w:tcW w:w="1418" w:type="dxa"/>
            <w:tcBorders/>
          </w:tcPr>
          <w:p>
            <w:pPr>
              <w:pStyle w:val="Normal"/>
              <w:jc w:val="center"/>
              <w:rPr>
                <w:color w:val="000000"/>
                <w:sz w:val="22"/>
                <w:lang w:val="en-AU" w:eastAsia="en-US"/>
              </w:rPr>
            </w:pPr>
            <w:r>
              <w:rPr>
                <w:color w:val="000000"/>
                <w:sz w:val="22"/>
                <w:lang w:val="en-AU" w:eastAsia="en-US"/>
              </w:rPr>
              <w:t>16433</w:t>
            </w:r>
          </w:p>
        </w:tc>
        <w:tc>
          <w:tcPr>
            <w:tcW w:w="1417" w:type="dxa"/>
            <w:tcBorders/>
          </w:tcPr>
          <w:p>
            <w:pPr>
              <w:pStyle w:val="Normal"/>
              <w:jc w:val="center"/>
              <w:rPr>
                <w:color w:val="000000"/>
                <w:sz w:val="22"/>
                <w:lang w:val="en-AU" w:eastAsia="en-US"/>
              </w:rPr>
            </w:pPr>
            <w:r>
              <w:rPr>
                <w:color w:val="000000"/>
                <w:sz w:val="22"/>
                <w:lang w:val="en-AU" w:eastAsia="en-US"/>
              </w:rPr>
              <w:t>1.4%</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HANG SENG 100 INDEX</w:t>
            </w:r>
          </w:p>
        </w:tc>
        <w:tc>
          <w:tcPr>
            <w:tcW w:w="1994" w:type="dxa"/>
            <w:tcBorders/>
          </w:tcPr>
          <w:p>
            <w:pPr>
              <w:pStyle w:val="Normal"/>
              <w:jc w:val="center"/>
              <w:rPr>
                <w:color w:val="000000"/>
                <w:sz w:val="22"/>
                <w:lang w:val="en-AU" w:eastAsia="en-US"/>
              </w:rPr>
            </w:pPr>
            <w:r>
              <w:rPr>
                <w:color w:val="000000"/>
                <w:sz w:val="22"/>
                <w:lang w:val="en-AU" w:eastAsia="en-US"/>
              </w:rPr>
              <w:t>150</w:t>
            </w:r>
          </w:p>
        </w:tc>
        <w:tc>
          <w:tcPr>
            <w:tcW w:w="1266" w:type="dxa"/>
            <w:tcBorders/>
          </w:tcPr>
          <w:p>
            <w:pPr>
              <w:pStyle w:val="Normal"/>
              <w:jc w:val="center"/>
              <w:rPr>
                <w:color w:val="000000"/>
                <w:sz w:val="22"/>
                <w:lang w:val="en-AU" w:eastAsia="en-US"/>
              </w:rPr>
            </w:pPr>
            <w:r>
              <w:rPr>
                <w:color w:val="000000"/>
                <w:sz w:val="22"/>
                <w:lang w:val="en-AU" w:eastAsia="en-US"/>
              </w:rPr>
              <w:t>153</w:t>
            </w:r>
          </w:p>
        </w:tc>
        <w:tc>
          <w:tcPr>
            <w:tcW w:w="1418" w:type="dxa"/>
            <w:tcBorders/>
          </w:tcPr>
          <w:p>
            <w:pPr>
              <w:pStyle w:val="Normal"/>
              <w:jc w:val="center"/>
              <w:rPr>
                <w:color w:val="000000"/>
                <w:sz w:val="22"/>
                <w:lang w:val="en-AU" w:eastAsia="en-US"/>
              </w:rPr>
            </w:pPr>
            <w:r>
              <w:rPr>
                <w:color w:val="000000"/>
                <w:sz w:val="22"/>
                <w:lang w:val="en-AU" w:eastAsia="en-US"/>
              </w:rPr>
              <w:t>151</w:t>
            </w:r>
          </w:p>
        </w:tc>
        <w:tc>
          <w:tcPr>
            <w:tcW w:w="1417" w:type="dxa"/>
            <w:tcBorders/>
          </w:tcPr>
          <w:p>
            <w:pPr>
              <w:pStyle w:val="Normal"/>
              <w:jc w:val="center"/>
              <w:rPr>
                <w:color w:val="000000"/>
                <w:sz w:val="22"/>
                <w:lang w:val="en-AU" w:eastAsia="en-US"/>
              </w:rPr>
            </w:pPr>
            <w:r>
              <w:rPr>
                <w:color w:val="000000"/>
                <w:sz w:val="22"/>
                <w:lang w:val="en-AU" w:eastAsia="en-US"/>
              </w:rPr>
              <w:t>-1.5%</w:t>
            </w:r>
          </w:p>
        </w:tc>
      </w:tr>
      <w:tr>
        <w:trPr>
          <w:trHeight w:val="247" w:hRule="atLeast"/>
        </w:trPr>
        <w:tc>
          <w:tcPr>
            <w:tcW w:w="3574" w:type="dxa"/>
            <w:tcBorders/>
          </w:tcPr>
          <w:p>
            <w:pPr>
              <w:pStyle w:val="Normal"/>
              <w:rPr>
                <w:color w:val="000000"/>
                <w:sz w:val="22"/>
                <w:lang w:val="en-AU" w:eastAsia="en-US"/>
              </w:rPr>
            </w:pPr>
            <w:r>
              <w:rPr>
                <w:color w:val="000000"/>
                <w:sz w:val="22"/>
                <w:lang w:val="en-AU" w:eastAsia="en-US"/>
              </w:rPr>
              <w:t>STRAITS TIMES</w:t>
            </w:r>
          </w:p>
        </w:tc>
        <w:tc>
          <w:tcPr>
            <w:tcW w:w="1994" w:type="dxa"/>
            <w:tcBorders/>
          </w:tcPr>
          <w:p>
            <w:pPr>
              <w:pStyle w:val="Normal"/>
              <w:jc w:val="center"/>
              <w:rPr>
                <w:color w:val="000000"/>
                <w:sz w:val="22"/>
                <w:lang w:val="en-AU" w:eastAsia="en-US"/>
              </w:rPr>
            </w:pPr>
            <w:r>
              <w:rPr>
                <w:color w:val="000000"/>
                <w:sz w:val="22"/>
                <w:lang w:val="en-AU" w:eastAsia="en-US"/>
              </w:rPr>
              <w:t>2162</w:t>
            </w:r>
          </w:p>
        </w:tc>
        <w:tc>
          <w:tcPr>
            <w:tcW w:w="1266" w:type="dxa"/>
            <w:tcBorders/>
          </w:tcPr>
          <w:p>
            <w:pPr>
              <w:pStyle w:val="Normal"/>
              <w:jc w:val="center"/>
              <w:rPr>
                <w:color w:val="000000"/>
                <w:sz w:val="22"/>
                <w:lang w:val="en-AU" w:eastAsia="en-US"/>
              </w:rPr>
            </w:pPr>
            <w:r>
              <w:rPr>
                <w:color w:val="000000"/>
                <w:sz w:val="22"/>
                <w:lang w:val="en-AU" w:eastAsia="en-US"/>
              </w:rPr>
              <w:t>2195</w:t>
            </w:r>
          </w:p>
        </w:tc>
        <w:tc>
          <w:tcPr>
            <w:tcW w:w="1418" w:type="dxa"/>
            <w:tcBorders/>
          </w:tcPr>
          <w:p>
            <w:pPr>
              <w:pStyle w:val="Normal"/>
              <w:jc w:val="center"/>
              <w:rPr>
                <w:color w:val="000000"/>
                <w:sz w:val="22"/>
                <w:lang w:val="en-AU" w:eastAsia="en-US"/>
              </w:rPr>
            </w:pPr>
            <w:r>
              <w:rPr>
                <w:color w:val="000000"/>
                <w:sz w:val="22"/>
                <w:lang w:val="en-AU" w:eastAsia="en-US"/>
              </w:rPr>
              <w:t>2166</w:t>
            </w:r>
          </w:p>
        </w:tc>
        <w:tc>
          <w:tcPr>
            <w:tcW w:w="1417" w:type="dxa"/>
            <w:tcBorders/>
          </w:tcPr>
          <w:p>
            <w:pPr>
              <w:pStyle w:val="Normal"/>
              <w:jc w:val="center"/>
              <w:rPr>
                <w:color w:val="000000"/>
                <w:sz w:val="22"/>
                <w:lang w:val="en-AU" w:eastAsia="en-US"/>
              </w:rPr>
            </w:pPr>
            <w:r>
              <w:rPr>
                <w:color w:val="000000"/>
                <w:sz w:val="22"/>
                <w:lang w:val="en-AU" w:eastAsia="en-US"/>
              </w:rPr>
              <w:t>-0.6%</w:t>
            </w:r>
          </w:p>
        </w:tc>
      </w:tr>
    </w:tbl>
    <w:p>
      <w:pPr>
        <w:pStyle w:val="Normal"/>
        <w:jc w:val="both"/>
        <w:rPr>
          <w:sz w:val="22"/>
        </w:rPr>
      </w:pPr>
      <w:r>
        <w:rPr>
          <w:sz w:val="22"/>
        </w:rPr>
      </w:r>
    </w:p>
    <w:p>
      <w:pPr>
        <w:pStyle w:val="Heading8"/>
        <w:ind w:hanging="0" w:start="0"/>
        <w:jc w:val="both"/>
        <w:rPr>
          <w:sz w:val="22"/>
          <w:u w:val="single"/>
        </w:rPr>
      </w:pPr>
      <w:r>
        <w:rPr>
          <w:sz w:val="22"/>
          <w:u w:val="single"/>
        </w:rPr>
        <w:t>OTHER</w:t>
      </w:r>
    </w:p>
    <w:p>
      <w:pPr>
        <w:pStyle w:val="Normal"/>
        <w:jc w:val="both"/>
        <w:rPr>
          <w:b/>
          <w:sz w:val="22"/>
          <w:u w:val="single"/>
        </w:rPr>
      </w:pPr>
      <w:r>
        <w:rPr>
          <w:b/>
          <w:sz w:val="22"/>
          <w:u w:val="single"/>
        </w:rPr>
      </w:r>
    </w:p>
    <w:p>
      <w:pPr>
        <w:pStyle w:val="Normal"/>
        <w:jc w:val="both"/>
        <w:rPr>
          <w:sz w:val="22"/>
        </w:rPr>
      </w:pPr>
      <w:r>
        <w:rPr>
          <w:b/>
          <w:sz w:val="22"/>
        </w:rPr>
        <w:t xml:space="preserve">Enron Announces Dividends </w:t>
      </w:r>
    </w:p>
    <w:p>
      <w:pPr>
        <w:pStyle w:val="Normal"/>
        <w:jc w:val="both"/>
        <w:rPr>
          <w:sz w:val="22"/>
        </w:rPr>
      </w:pPr>
      <w:r>
        <w:rPr>
          <w:sz w:val="22"/>
        </w:rPr>
      </w:r>
    </w:p>
    <w:p>
      <w:pPr>
        <w:pStyle w:val="Normal"/>
        <w:jc w:val="both"/>
        <w:rPr/>
      </w:pPr>
      <w:r>
        <w:rPr>
          <w:sz w:val="22"/>
        </w:rPr>
        <w:t xml:space="preserve">The Enron Corp. (NYSE: </w:t>
      </w:r>
      <w:hyperlink r:id="rId7">
        <w:r>
          <w:rPr>
            <w:rStyle w:val="Hyperlink"/>
            <w:sz w:val="22"/>
          </w:rPr>
          <w:t>ENE</w:t>
        </w:r>
      </w:hyperlink>
      <w:r>
        <w:rPr>
          <w:sz w:val="22"/>
        </w:rPr>
        <w:t xml:space="preserve">) Board of Directors declared today a regular quarterly dividend of $0.125 per share on the corporation's common stock payable on Sept. 20, 2000 to shareholders of record as of Sept. 8, 2000. The indicated annual rate is $0.50 per share. The Board also declared a regular quarterly dividend of $3.413 on the Cumulative Second Preferred Convertible Stock payable Oct. 2, 2000 to shareholders of record as of Sept 15, 2000. The indicated annual rate is $13.652 per share.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Sources:  Bloomberg, Financial Times, Dow Jones, Platts, Heren, Argus, Bridge, Reuters.</w:t>
      </w:r>
    </w:p>
    <w:sectPr>
      <w:footerReference w:type="default" r:id="rId8"/>
      <w:type w:val="nextPage"/>
      <w:pgSz w:w="11906" w:h="16838"/>
      <w:pgMar w:left="1134" w:right="1134" w:gutter="0" w:header="0" w:top="851" w:footer="56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Helvetica (PCL6)">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Helvetica (PCL6)" w:hAnsi="Helvetica (PCL6)" w:cs="Helvetica (PCL6)"/>
        <w:sz w:val="16"/>
      </w:rPr>
    </w:pPr>
    <w:r>
      <w:rPr>
        <w:rFonts w:cs="Helvetica (PCL6)" w:ascii="Helvetica (PCL6)" w:hAnsi="Helvetica (PCL6)"/>
        <w:sz w:val="16"/>
      </w:rPr>
      <w:t>Prepared by RAC London Market Risk</w:t>
    </w:r>
    <w:r>
      <mc:AlternateContent>
        <mc:Choice Requires="wps">
          <w:drawing>
            <wp:anchor behindDoc="0" distT="0" distB="0" distL="0" distR="0" simplePos="0" locked="0" layoutInCell="0" allowOverlap="1" relativeHeight="10">
              <wp:simplePos x="0" y="0"/>
              <wp:positionH relativeFrom="page">
                <wp:posOffset>5944235</wp:posOffset>
              </wp:positionH>
              <wp:positionV relativeFrom="paragraph">
                <wp:posOffset>-1905</wp:posOffset>
              </wp:positionV>
              <wp:extent cx="904240" cy="213995"/>
              <wp:effectExtent l="0" t="0" r="0" b="0"/>
              <wp:wrapSquare wrapText="bothSides"/>
              <wp:docPr id="6" name="Frame1"/>
              <a:graphic xmlns:a="http://schemas.openxmlformats.org/drawingml/2006/main">
                <a:graphicData uri="http://schemas.microsoft.com/office/word/2010/wordprocessingShape">
                  <wps:wsp>
                    <wps:cNvSpPr txBox="1"/>
                    <wps:spPr>
                      <a:xfrm>
                        <a:off x="0" y="0"/>
                        <a:ext cx="904240" cy="213995"/>
                      </a:xfrm>
                      <a:prstGeom prst="rect"/>
                      <a:solidFill>
                        <a:srgbClr val="FFFFFF">
                          <a:alpha val="0"/>
                        </a:srgbClr>
                      </a:solidFill>
                    </wps:spPr>
                    <wps:txbx>
                      <w:txbxContent>
                        <w:p>
                          <w:pPr>
                            <w:pStyle w:val="Footer"/>
                            <w:ind w:end="360"/>
                            <w:rPr>
                              <w:rStyle w:val="PageNumber"/>
                              <w:rFonts w:ascii="Times New Roman" w:hAnsi="Times New Roman" w:cs="Times New Roman"/>
                              <w:sz w:val="20"/>
                            </w:rPr>
                          </w:pPr>
                          <w:r>
                            <w:rPr>
                              <w:rStyle w:val="PageNumber"/>
                              <w:rFonts w:cs="Times New Roman" w:ascii="Times New Roman" w:hAnsi="Times New Roman"/>
                              <w:sz w:val="20"/>
                              <w:lang w:eastAsia="en-US"/>
                            </w:rPr>
                            <w:t xml:space="preserve">Page </w:t>
                          </w:r>
                          <w:r>
                            <w:rPr>
                              <w:rStyle w:val="PageNumber"/>
                              <w:rFonts w:cs="Times New Roman" w:ascii="Times New Roman" w:hAnsi="Times New Roman"/>
                              <w:sz w:val="20"/>
                              <w:lang w:eastAsia="en-US"/>
                            </w:rPr>
                            <w:fldChar w:fldCharType="begin"/>
                          </w:r>
                          <w:r>
                            <w:rPr>
                              <w:rStyle w:val="PageNumber"/>
                              <w:sz w:val="20"/>
                              <w:rFonts w:cs="Times New Roman" w:ascii="Times New Roman" w:hAnsi="Times New Roman"/>
                              <w:lang w:eastAsia="en-US"/>
                            </w:rPr>
                            <w:instrText xml:space="preserve"> PAGE </w:instrText>
                          </w:r>
                          <w:r>
                            <w:rPr>
                              <w:rStyle w:val="PageNumber"/>
                              <w:sz w:val="20"/>
                              <w:rFonts w:cs="Times New Roman" w:ascii="Times New Roman" w:hAnsi="Times New Roman"/>
                              <w:lang w:eastAsia="en-US"/>
                            </w:rPr>
                            <w:fldChar w:fldCharType="separate"/>
                          </w:r>
                          <w:r>
                            <w:rPr>
                              <w:rStyle w:val="PageNumber"/>
                              <w:sz w:val="20"/>
                              <w:rFonts w:cs="Times New Roman" w:ascii="Times New Roman" w:hAnsi="Times New Roman"/>
                              <w:lang w:eastAsia="en-US"/>
                            </w:rPr>
                            <w:t>7</w:t>
                          </w:r>
                          <w:r>
                            <w:rPr>
                              <w:rStyle w:val="PageNumber"/>
                              <w:sz w:val="20"/>
                              <w:rFonts w:cs="Times New Roman" w:ascii="Times New Roman" w:hAnsi="Times New Roman"/>
                              <w:lang w:eastAsia="en-US"/>
                            </w:rPr>
                            <w:fldChar w:fldCharType="end"/>
                          </w:r>
                        </w:p>
                      </w:txbxContent>
                    </wps:txbx>
                    <wps:bodyPr anchor="t" lIns="0" tIns="0" rIns="0" bIns="0">
                      <a:noAutofit/>
                    </wps:bodyPr>
                  </wps:wsp>
                </a:graphicData>
              </a:graphic>
            </wp:anchor>
          </w:drawing>
        </mc:Choice>
        <mc:Fallback>
          <w:pict>
            <v:rect fillcolor="#FFFFFF" style="position:absolute;rotation:-0;width:71.2pt;height:16.85pt;mso-wrap-distance-left:0pt;mso-wrap-distance-right:0pt;mso-wrap-distance-top:0pt;mso-wrap-distance-bottom:0pt;margin-top:-0.15pt;mso-position-vertical-relative:text;margin-left:468.05pt;mso-position-horizontal-relative:page">
              <v:fill opacity="0f"/>
              <v:textbox inset="0in,0in,0in,0in">
                <w:txbxContent>
                  <w:p>
                    <w:pPr>
                      <w:pStyle w:val="Footer"/>
                      <w:ind w:end="360"/>
                      <w:rPr>
                        <w:rStyle w:val="PageNumber"/>
                        <w:rFonts w:ascii="Times New Roman" w:hAnsi="Times New Roman" w:cs="Times New Roman"/>
                        <w:sz w:val="20"/>
                      </w:rPr>
                    </w:pPr>
                    <w:r>
                      <w:rPr>
                        <w:rStyle w:val="PageNumber"/>
                        <w:rFonts w:cs="Times New Roman" w:ascii="Times New Roman" w:hAnsi="Times New Roman"/>
                        <w:sz w:val="20"/>
                        <w:lang w:eastAsia="en-US"/>
                      </w:rPr>
                      <w:t xml:space="preserve">Page </w:t>
                    </w:r>
                    <w:r>
                      <w:rPr>
                        <w:rStyle w:val="PageNumber"/>
                        <w:rFonts w:cs="Times New Roman" w:ascii="Times New Roman" w:hAnsi="Times New Roman"/>
                        <w:sz w:val="20"/>
                        <w:lang w:eastAsia="en-US"/>
                      </w:rPr>
                      <w:fldChar w:fldCharType="begin"/>
                    </w:r>
                    <w:r>
                      <w:rPr>
                        <w:rStyle w:val="PageNumber"/>
                        <w:sz w:val="20"/>
                        <w:rFonts w:cs="Times New Roman" w:ascii="Times New Roman" w:hAnsi="Times New Roman"/>
                        <w:lang w:eastAsia="en-US"/>
                      </w:rPr>
                      <w:instrText xml:space="preserve"> PAGE </w:instrText>
                    </w:r>
                    <w:r>
                      <w:rPr>
                        <w:rStyle w:val="PageNumber"/>
                        <w:sz w:val="20"/>
                        <w:rFonts w:cs="Times New Roman" w:ascii="Times New Roman" w:hAnsi="Times New Roman"/>
                        <w:lang w:eastAsia="en-US"/>
                      </w:rPr>
                      <w:fldChar w:fldCharType="separate"/>
                    </w:r>
                    <w:r>
                      <w:rPr>
                        <w:rStyle w:val="PageNumber"/>
                        <w:sz w:val="20"/>
                        <w:rFonts w:cs="Times New Roman" w:ascii="Times New Roman" w:hAnsi="Times New Roman"/>
                        <w:lang w:eastAsia="en-US"/>
                      </w:rPr>
                      <w:t>7</w:t>
                    </w:r>
                    <w:r>
                      <w:rPr>
                        <w:rStyle w:val="PageNumber"/>
                        <w:sz w:val="20"/>
                        <w:rFonts w:cs="Times New Roman" w:ascii="Times New Roman" w:hAnsi="Times New Roman"/>
                        <w:lang w:eastAsia="en-US"/>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Helvetica" w:hAnsi="Arial; Helvetica" w:eastAsia="Times New Roman" w:cs="Arial; Helvetic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b/>
      <w:sz w:val="22"/>
    </w:rPr>
  </w:style>
  <w:style w:type="paragraph" w:styleId="Heading3">
    <w:name w:val="heading 3"/>
    <w:basedOn w:val="Normal"/>
    <w:next w:val="Normal"/>
    <w:qFormat/>
    <w:pPr>
      <w:keepNext w:val="true"/>
      <w:numPr>
        <w:ilvl w:val="2"/>
        <w:numId w:val="1"/>
      </w:numPr>
      <w:tabs>
        <w:tab w:val="clear" w:pos="720"/>
        <w:tab w:val="left" w:pos="993" w:leader="none"/>
        <w:tab w:val="left" w:pos="1985" w:leader="none"/>
      </w:tabs>
      <w:jc w:val="both"/>
      <w:outlineLvl w:val="2"/>
    </w:pPr>
    <w:rPr>
      <w:rFonts w:ascii="Times New Roman" w:hAnsi="Times New Roman" w:cs="Times New Roman"/>
      <w:b/>
      <w:color w:val="000000"/>
      <w:sz w:val="22"/>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sz w:val="22"/>
      <w:u w:val="single"/>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2"/>
      <w:u w:val="single"/>
    </w:rPr>
  </w:style>
  <w:style w:type="paragraph" w:styleId="Heading6">
    <w:name w:val="heading 6"/>
    <w:basedOn w:val="Normal"/>
    <w:next w:val="Normal"/>
    <w:qFormat/>
    <w:pPr>
      <w:keepNext w:val="true"/>
      <w:numPr>
        <w:ilvl w:val="5"/>
        <w:numId w:val="1"/>
      </w:numPr>
      <w:spacing w:lineRule="atLeast" w:line="240"/>
      <w:jc w:val="both"/>
      <w:outlineLvl w:val="5"/>
    </w:pPr>
    <w:rPr>
      <w:rFonts w:ascii="Times New Roman" w:hAnsi="Times New Roman" w:cs="Times New Roman"/>
      <w:b/>
      <w:color w:val="000000"/>
      <w:sz w:val="22"/>
      <w:u w:val="single"/>
      <w:lang w:val="en-AU" w:eastAsia="en-US"/>
    </w:rPr>
  </w:style>
  <w:style w:type="paragraph" w:styleId="Heading7">
    <w:name w:val="heading 7"/>
    <w:basedOn w:val="Normal"/>
    <w:next w:val="Normal"/>
    <w:qFormat/>
    <w:pPr>
      <w:keepNext w:val="true"/>
      <w:numPr>
        <w:ilvl w:val="6"/>
        <w:numId w:val="1"/>
      </w:numPr>
      <w:spacing w:lineRule="atLeast" w:line="240"/>
      <w:outlineLvl w:val="6"/>
    </w:pPr>
    <w:rPr>
      <w:rFonts w:ascii="Helv;Arial" w:hAnsi="Helv;Arial" w:cs="Helv;Arial"/>
      <w:b/>
      <w:color w:val="000000"/>
      <w:lang w:val="en-AU" w:eastAsia="en-US"/>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i/>
      <w:color w:val="000000"/>
      <w:sz w:val="22"/>
      <w:lang w:val="en-AU"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St124z0">
    <w:name w:val="WW8NumSt124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rFonts w:ascii="Times New Roman" w:hAnsi="Times New Roman" w:cs="Times New Roman"/>
      <w:b/>
      <w:sz w:val="36"/>
      <w:lang w:val="en-GB" w:eastAsia="en-US"/>
    </w:rPr>
  </w:style>
  <w:style w:type="paragraph" w:styleId="BodyTextIndent">
    <w:name w:val="Body Text Indent"/>
    <w:basedOn w:val="Normal"/>
    <w:pPr>
      <w:spacing w:before="240" w:after="0"/>
      <w:ind w:hanging="1418" w:start="1418" w:end="0"/>
      <w:jc w:val="both"/>
    </w:pPr>
    <w:rPr>
      <w:rFonts w:ascii="Times New Roman" w:hAnsi="Times New Roman" w:cs="Times New Roman"/>
      <w:sz w:val="22"/>
    </w:rPr>
  </w:style>
  <w:style w:type="paragraph" w:styleId="BodyText2">
    <w:name w:val="Body Text 2"/>
    <w:basedOn w:val="Normal"/>
    <w:qFormat/>
    <w:pPr>
      <w:spacing w:lineRule="atLeast" w:line="240"/>
      <w:jc w:val="both"/>
    </w:pPr>
    <w:rPr>
      <w:rFonts w:ascii="Times New Roman" w:hAnsi="Times New Roman" w:cs="Times New Roman"/>
      <w:color w:val="000000"/>
      <w:sz w:val="22"/>
      <w:lang w:val="en-AU"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BodyText3">
    <w:name w:val="Body Text 3"/>
    <w:basedOn w:val="Normal"/>
    <w:qFormat/>
    <w:pPr>
      <w:spacing w:lineRule="atLeast" w:line="240"/>
      <w:jc w:val="both"/>
    </w:pPr>
    <w:rPr>
      <w:rFonts w:ascii="Times New Roman" w:hAnsi="Times New Roman" w:cs="Times New Roman"/>
      <w:color w:val="000000"/>
      <w:sz w:val="20"/>
      <w:lang w:val="en-AU" w:eastAsia="en-US"/>
    </w:rPr>
  </w:style>
  <w:style w:type="paragraph" w:styleId="Header">
    <w:name w:val="header"/>
    <w:basedOn w:val="Normal"/>
    <w:pPr>
      <w:tabs>
        <w:tab w:val="clear" w:pos="720"/>
        <w:tab w:val="center" w:pos="4153" w:leader="none"/>
        <w:tab w:val="right" w:pos="8306" w:leader="none"/>
      </w:tabs>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lang w:val="en-GB" w:eastAsia="en-US"/>
    </w:rPr>
  </w:style>
  <w:style w:type="paragraph" w:styleId="DocumentMap">
    <w:name w:val="Document Map"/>
    <w:basedOn w:val="Normal"/>
    <w:qFormat/>
    <w:pPr>
      <w:shd w:fill="000080" w:val="clear"/>
    </w:pPr>
    <w:rPr>
      <w:rFonts w:ascii="Tahoma" w:hAnsi="Tahoma" w:cs="Tahoma"/>
    </w:rPr>
  </w:style>
  <w:style w:type="paragraph" w:styleId="H5">
    <w:name w:val="H5"/>
    <w:basedOn w:val="Normal"/>
    <w:next w:val="Normal"/>
    <w:qFormat/>
    <w:pPr>
      <w:keepNext w:val="true"/>
      <w:spacing w:before="100" w:after="100"/>
      <w:outlineLvl w:val="5"/>
    </w:pPr>
    <w:rPr>
      <w:rFonts w:ascii="Times New Roman" w:hAnsi="Times New Roman" w:cs="Times New Roman"/>
      <w:b/>
      <w:sz w:val="20"/>
      <w:lang w:val="en-GB"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cgi.entrypoint.com/cgi-bin/ep_comp_link_articles.cgi?location=main2.entrypoint.com/stock/stock_summary.php3&amp;exc=usa::&amp;tkr=ENE"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2000-08-25T05:12:00Z</dcterms:created>
  <dc:creator>hamiry</dc:creator>
  <dc:description/>
  <dc:language>en-CA</dc:language>
  <cp:lastModifiedBy>hamiry</cp:lastModifiedBy>
  <cp:lastPrinted>2000-06-30T09:39:00Z</cp:lastPrinted>
  <dcterms:modified xsi:type="dcterms:W3CDTF">2000-08-25T06:21:00Z</dcterms:modified>
  <cp:revision>9</cp:revision>
  <dc:subject/>
  <dc:title>EUROPEAN MARKET SUMMARY Trading Day 26 June 2000</dc:title>
</cp:coreProperties>
</file>