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RATES &amp; REGULATORY- Top 10 ‘00 Objectives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(Members:  Bob Frank, Pat Keene, Lara Leibman, Harry Kingerski)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77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3420"/>
        <w:gridCol w:w="3600"/>
        <w:gridCol w:w="3510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Risk Management for existing transactions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1)  Improve flow of regulatory information from Govt. Affairs regions into EES rate curves, particularly for states with commodity focus (IL, TX, NJ, etc.) </w:t>
            </w:r>
          </w:p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BodyText"/>
              <w:rPr/>
            </w:pPr>
            <w:r>
              <w:rPr/>
              <w:t>Support Developing Transactions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Heading2"/>
              <w:ind w:hanging="0" w:start="0"/>
              <w:jc w:val="start"/>
              <w:rPr>
                <w:b w:val="false"/>
                <w:i w:val="false"/>
                <w:i w:val="false"/>
                <w:sz w:val="22"/>
              </w:rPr>
            </w:pPr>
            <w:r>
              <w:rPr>
                <w:b w:val="false"/>
                <w:i w:val="false"/>
                <w:sz w:val="22"/>
              </w:rPr>
              <w:t>1)  Acquire non-utility status for EFS (Enron Federal Solutions) in states (GA, MD, VA, CO, CA) with DOD sites.</w:t>
            </w:r>
          </w:p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  <w:p>
            <w:pPr>
              <w:pStyle w:val="BodyText2"/>
              <w:ind w:start="-18" w:end="0"/>
              <w:rPr/>
            </w:pPr>
            <w:r>
              <w:rPr/>
              <w:t>2)  Assist with resolution of legal and regulatory issues related to Calvert City (KY) and other ENA merchant plant and customer-site generation projects as they arise.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Opening &amp; Enhancing New Markets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1)  TX: provide full range of support services (unbundling, code of conduct, legal) for restructuring cases.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2)  OH: provide full range of support services (unbundling, code of conduct, legal) for restructuring cases.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start="-18" w:end="0"/>
              <w:rPr>
                <w:sz w:val="22"/>
              </w:rPr>
            </w:pPr>
            <w:r>
              <w:rPr>
                <w:sz w:val="22"/>
              </w:rPr>
              <w:t>3)  NV: provide full range of support services (unbundling, code of conduct, legal) for restructuring cases.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2"/>
              <w:ind w:hanging="0" w:start="0"/>
              <w:jc w:val="start"/>
              <w:rPr>
                <w:b w:val="false"/>
                <w:i w:val="false"/>
                <w:i w:val="false"/>
                <w:sz w:val="22"/>
              </w:rPr>
            </w:pPr>
            <w:r>
              <w:rPr>
                <w:b w:val="false"/>
                <w:i w:val="false"/>
                <w:sz w:val="22"/>
              </w:rPr>
              <w:t>4)  Advance the ball on affiliate rules/codes of conduct/functional separation in states where opportunity is present (MD, MI, IL, AR, FL, AZ, NM).</w:t>
            </w:r>
          </w:p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5)  Design a policy position for utility distribution company rate design, for delivery and standby services, for immediate use in CA PGE and DG cases.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6)  Provide technical/regulatory support in selected areas of need for international markets.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Government Affairs Origination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BodyText2"/>
              <w:rPr/>
            </w:pPr>
            <w:r>
              <w:rPr/>
              <w:t>1)  Leverage Govt. Affairs knowledge of market openings to find ways for GPG (Gas Pipeline Group) to reduce electricity costs at its retail sites.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5840" w:h="12240"/>
      <w:pgMar w:left="1440" w:right="864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pacing w:val="20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  <w:spacing w:val="20"/>
    </w:rPr>
  </w:style>
  <w:style w:type="character" w:styleId="WW8Num5z0">
    <w:name w:val="WW8Num5z0"/>
    <w:qFormat/>
    <w:rPr>
      <w:rFonts w:ascii="Symbol" w:hAnsi="Symbol" w:cs="Symbol"/>
      <w:spacing w:val="20"/>
    </w:rPr>
  </w:style>
  <w:style w:type="character" w:styleId="WW8Num6z0">
    <w:name w:val="WW8Num6z0"/>
    <w:qFormat/>
    <w:rPr>
      <w:rFonts w:ascii="Symbol" w:hAnsi="Symbol" w:cs="Symbol"/>
      <w:spacing w:val="20"/>
      <w:effect w:val="blinkBackground"/>
    </w:rPr>
  </w:style>
  <w:style w:type="character" w:styleId="WW8Num7z0">
    <w:name w:val="WW8Num7z0"/>
    <w:qFormat/>
    <w:rPr>
      <w:rFonts w:ascii="Symbol" w:hAnsi="Symbol" w:cs="Symbol"/>
      <w:spacing w:val="2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pacing w:val="20"/>
      <w:effect w:val="blinkBackground"/>
    </w:rPr>
  </w:style>
  <w:style w:type="character" w:styleId="WW8Num10z0">
    <w:name w:val="WW8Num10z0"/>
    <w:qFormat/>
    <w:rPr>
      <w:rFonts w:ascii="Symbol" w:hAnsi="Symbol" w:cs="Symbol"/>
      <w:spacing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pacing w:val="20"/>
    </w:rPr>
  </w:style>
  <w:style w:type="character" w:styleId="WW8Num13z0">
    <w:name w:val="WW8Num13z0"/>
    <w:qFormat/>
    <w:rPr>
      <w:rFonts w:ascii="Symbol" w:hAnsi="Symbol" w:cs="Symbol"/>
      <w:spacing w:val="20"/>
    </w:rPr>
  </w:style>
  <w:style w:type="character" w:styleId="WW8Num14z0">
    <w:name w:val="WW8Num14z0"/>
    <w:qFormat/>
    <w:rPr>
      <w:rFonts w:ascii="Symbol" w:hAnsi="Symbol" w:cs="Symbol"/>
      <w:spacing w:val="20"/>
    </w:rPr>
  </w:style>
  <w:style w:type="character" w:styleId="WW8Num15z0">
    <w:name w:val="WW8Num15z0"/>
    <w:qFormat/>
    <w:rPr>
      <w:rFonts w:ascii="Symbol" w:hAnsi="Symbol" w:cs="Symbol"/>
      <w:spacing w:val="20"/>
      <w:effect w:val="blinkBackground"/>
    </w:rPr>
  </w:style>
  <w:style w:type="character" w:styleId="WW8Num16z0">
    <w:name w:val="WW8Num16z0"/>
    <w:qFormat/>
    <w:rPr>
      <w:rFonts w:ascii="Symbol" w:hAnsi="Symbol" w:cs="Symbol"/>
      <w:spacing w:val="20"/>
    </w:rPr>
  </w:style>
  <w:style w:type="character" w:styleId="WW8Num17z0">
    <w:name w:val="WW8Num17z0"/>
    <w:qFormat/>
    <w:rPr>
      <w:rFonts w:ascii="Symbol" w:hAnsi="Symbol" w:cs="Symbol"/>
      <w:spacing w:val="20"/>
    </w:rPr>
  </w:style>
  <w:style w:type="character" w:styleId="WW8Num18z0">
    <w:name w:val="WW8Num18z0"/>
    <w:qFormat/>
    <w:rPr>
      <w:rFonts w:ascii="Symbol" w:hAnsi="Symbol" w:cs="Symbol"/>
      <w:spacing w:val="20"/>
      <w:effect w:val="blinkBackground"/>
    </w:rPr>
  </w:style>
  <w:style w:type="character" w:styleId="WW8Num19z0">
    <w:name w:val="WW8Num19z0"/>
    <w:qFormat/>
    <w:rPr>
      <w:rFonts w:ascii="Symbol" w:hAnsi="Symbol" w:cs="Symbol"/>
      <w:spacing w:val="20"/>
      <w:effect w:val="blinkBackground"/>
    </w:rPr>
  </w:style>
  <w:style w:type="character" w:styleId="WW8Num20z0">
    <w:name w:val="WW8Num20z0"/>
    <w:qFormat/>
    <w:rPr>
      <w:rFonts w:ascii="Symbol" w:hAnsi="Symbol" w:cs="Symbol"/>
      <w:spacing w:val="20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  <w:spacing w:val="20"/>
      <w:effect w:val="blinkBackground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spacing w:val="20"/>
    </w:rPr>
  </w:style>
  <w:style w:type="character" w:styleId="WW8Num30z0">
    <w:name w:val="WW8Num30z0"/>
    <w:qFormat/>
    <w:rPr>
      <w:rFonts w:ascii="Symbol" w:hAnsi="Symbol" w:cs="Symbol"/>
      <w:spacing w:val="20"/>
      <w:effect w:val="blinkBackground"/>
    </w:rPr>
  </w:style>
  <w:style w:type="character" w:styleId="WW8Num31z0">
    <w:name w:val="WW8Num31z0"/>
    <w:qFormat/>
    <w:rPr>
      <w:rFonts w:ascii="Symbol" w:hAnsi="Symbol" w:cs="Symbol"/>
      <w:spacing w:val="20"/>
    </w:rPr>
  </w:style>
  <w:style w:type="character" w:styleId="WW8Num32z0">
    <w:name w:val="WW8Num32z0"/>
    <w:qFormat/>
    <w:rPr>
      <w:rFonts w:ascii="Symbol" w:hAnsi="Symbol" w:cs="Symbol"/>
      <w:spacing w:val="20"/>
    </w:rPr>
  </w:style>
  <w:style w:type="character" w:styleId="WW8Num33z0">
    <w:name w:val="WW8Num3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b/>
      <w:i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1999-10-21T13:39:00Z</dcterms:created>
  <dc:creator>gderneh</dc:creator>
  <dc:description/>
  <dc:language>en-CA</dc:language>
  <cp:lastModifiedBy>hkinger</cp:lastModifiedBy>
  <cp:lastPrinted>1999-11-02T07:42:00Z</cp:lastPrinted>
  <dcterms:modified xsi:type="dcterms:W3CDTF">1999-11-03T18:34:00Z</dcterms:modified>
  <cp:revision>31</cp:revision>
  <dc:subject/>
  <dc:title>Risk Mgmt</dc:title>
</cp:coreProperties>
</file>