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trdate"/>
        <w:spacing w:before="1219" w:after="480"/>
        <w:rPr/>
      </w:pPr>
      <w:r>
        <w:rPr/>
      </w:r>
    </w:p>
    <w:p>
      <w:pPr>
        <w:pStyle w:val="Normal"/>
        <w:rPr/>
      </w:pPr>
      <w:r>
        <w:rPr/>
      </w:r>
    </w:p>
    <w:p>
      <w:pPr>
        <w:pStyle w:val="Normal"/>
        <w:jc w:val="center"/>
        <w:rPr>
          <w:b/>
          <w:bCs/>
        </w:rPr>
      </w:pPr>
      <w:r>
        <w:rPr>
          <w:b/>
          <w:bCs/>
        </w:rPr>
        <w:t>Privileged and Confidential</w:t>
      </w:r>
    </w:p>
    <w:p>
      <w:pPr>
        <w:pStyle w:val="Normal"/>
        <w:jc w:val="center"/>
        <w:rPr/>
      </w:pPr>
      <w:r>
        <w:rPr/>
        <w:t>October 5, 2001</w:t>
      </w:r>
    </w:p>
    <w:p>
      <w:pPr>
        <w:pStyle w:val="Normal"/>
        <w:jc w:val="center"/>
        <w:rPr/>
      </w:pPr>
      <w:r>
        <w:rPr/>
      </w:r>
    </w:p>
    <w:p>
      <w:pPr>
        <w:pStyle w:val="Normal"/>
        <w:jc w:val="center"/>
        <w:rPr>
          <w:b/>
          <w:bCs/>
        </w:rPr>
      </w:pPr>
      <w:r>
        <w:rPr>
          <w:b/>
          <w:bCs/>
        </w:rPr>
        <w:t>SUMMARY FOR ENRON OF THE OCTOBER 3, 2001 ARGUMENT</w:t>
      </w:r>
    </w:p>
    <w:p>
      <w:pPr>
        <w:pStyle w:val="Normal"/>
        <w:jc w:val="center"/>
        <w:rPr>
          <w:b/>
          <w:bCs/>
        </w:rPr>
      </w:pPr>
      <w:r>
        <w:rPr>
          <w:b/>
          <w:bCs/>
        </w:rPr>
        <w:t>IN THE U.S. SUPREME COURT IN THE FERC ORDER 888 CASES</w:t>
      </w:r>
    </w:p>
    <w:p>
      <w:pPr>
        <w:pStyle w:val="Normal"/>
        <w:ind w:start="1440" w:end="0"/>
        <w:rPr/>
      </w:pPr>
      <w:r>
        <w:rPr/>
      </w:r>
    </w:p>
    <w:p>
      <w:pPr>
        <w:pStyle w:val="Normal"/>
        <w:ind w:hanging="1440" w:start="1440" w:end="0"/>
        <w:rPr/>
      </w:pPr>
      <w:r>
        <w:rPr>
          <w:i/>
          <w:iCs/>
        </w:rPr>
        <w:t>Issues</w:t>
      </w:r>
      <w:r>
        <w:rPr/>
        <w:t xml:space="preserve">:  </w:t>
        <w:tab/>
        <w:t>FERC Order 888 and related orders required transmission-owning utilities to adopt an “Open Access Transmission Tariff” applicable to transmis</w:t>
        <w:softHyphen/>
        <w:t xml:space="preserve">sions for wholesales and “unbundled” retail sales (where transmission is sold separately) but FERC said it lacked </w:t>
      </w:r>
      <w:r>
        <w:rPr>
          <w:i/>
          <w:iCs/>
        </w:rPr>
        <w:t>jurisdiction</w:t>
      </w:r>
      <w:r>
        <w:rPr/>
        <w:t xml:space="preserve"> to apply the OATT to transmissions for traditional “bundled” retail sales.  In 2000, the Court of Appeals in D.C. affirmed FERC in all respects.  </w:t>
      </w:r>
    </w:p>
    <w:p>
      <w:pPr>
        <w:pStyle w:val="Normal"/>
        <w:ind w:hanging="1440" w:start="1440" w:end="0"/>
        <w:rPr/>
      </w:pPr>
      <w:r>
        <w:rPr/>
      </w:r>
    </w:p>
    <w:p>
      <w:pPr>
        <w:pStyle w:val="Normal"/>
        <w:ind w:hanging="1440" w:start="1440" w:end="0"/>
        <w:rPr/>
      </w:pPr>
      <w:r>
        <w:rPr/>
        <w:tab/>
        <w:t xml:space="preserve">In the Supreme Court: </w:t>
      </w:r>
    </w:p>
    <w:p>
      <w:pPr>
        <w:pStyle w:val="Normal"/>
        <w:ind w:hanging="1440" w:start="1440" w:end="0"/>
        <w:rPr/>
      </w:pPr>
      <w:r>
        <w:rPr/>
      </w:r>
    </w:p>
    <w:p>
      <w:pPr>
        <w:pStyle w:val="Normal"/>
        <w:tabs>
          <w:tab w:val="clear" w:pos="720"/>
          <w:tab w:val="left" w:pos="1440" w:leader="none"/>
        </w:tabs>
        <w:ind w:hanging="2160" w:start="2160" w:end="0"/>
        <w:rPr/>
      </w:pPr>
      <w:r>
        <w:rPr/>
        <w:tab/>
        <w:t xml:space="preserve">(1) </w:t>
        <w:tab/>
        <w:t xml:space="preserve">EPMI contends FERC did not go far enough, that FERC’s erroneous refusal to accept jurisdiction over transmissions to serve “native load” wrongly exempted about 60% of all transmissions. </w:t>
      </w:r>
    </w:p>
    <w:p>
      <w:pPr>
        <w:pStyle w:val="Normal"/>
        <w:tabs>
          <w:tab w:val="clear" w:pos="720"/>
          <w:tab w:val="left" w:pos="1440" w:leader="none"/>
        </w:tabs>
        <w:ind w:hanging="2160" w:start="2160" w:end="0"/>
        <w:rPr/>
      </w:pPr>
      <w:r>
        <w:rPr/>
      </w:r>
    </w:p>
    <w:p>
      <w:pPr>
        <w:pStyle w:val="Normal"/>
        <w:tabs>
          <w:tab w:val="clear" w:pos="720"/>
          <w:tab w:val="left" w:pos="1440" w:leader="none"/>
        </w:tabs>
        <w:ind w:hanging="2160" w:start="2160" w:end="0"/>
        <w:rPr/>
      </w:pPr>
      <w:r>
        <w:rPr/>
        <w:tab/>
        <w:t>(2)</w:t>
        <w:tab/>
        <w:t>New York and eight other states contend FERC went too far, that FERC has no jurisdiction over interstate transmissions for any retail sales.</w:t>
      </w:r>
    </w:p>
    <w:p>
      <w:pPr>
        <w:pStyle w:val="Normal"/>
        <w:tabs>
          <w:tab w:val="clear" w:pos="720"/>
          <w:tab w:val="left" w:pos="1440" w:leader="none"/>
        </w:tabs>
        <w:ind w:hanging="2160" w:start="2160" w:end="0"/>
        <w:rPr/>
      </w:pPr>
      <w:r>
        <w:rPr/>
      </w:r>
    </w:p>
    <w:p>
      <w:pPr>
        <w:pStyle w:val="Normal"/>
        <w:tabs>
          <w:tab w:val="clear" w:pos="720"/>
          <w:tab w:val="left" w:pos="1440" w:leader="none"/>
        </w:tabs>
        <w:ind w:hanging="2160" w:start="2160" w:end="0"/>
        <w:rPr>
          <w:i/>
          <w:i/>
          <w:iCs/>
        </w:rPr>
      </w:pPr>
      <w:r>
        <w:rPr>
          <w:i/>
          <w:iCs/>
        </w:rPr>
        <w:t>Court</w:t>
      </w:r>
    </w:p>
    <w:p>
      <w:pPr>
        <w:pStyle w:val="Normal"/>
        <w:tabs>
          <w:tab w:val="clear" w:pos="720"/>
          <w:tab w:val="left" w:pos="1440" w:leader="none"/>
        </w:tabs>
        <w:ind w:hanging="1440" w:start="1440" w:end="0"/>
        <w:rPr/>
      </w:pPr>
      <w:r>
        <w:rPr>
          <w:i/>
          <w:iCs/>
        </w:rPr>
        <w:t>Logistics</w:t>
      </w:r>
      <w:r>
        <w:rPr/>
        <w:t>:</w:t>
        <w:tab/>
        <w:t>The Supreme Court heard argument for 70 minutes on October 3.  Louis R. Cohen of Wilmer, Cutler &amp; Pickering argued for EPMI.  Lawrence Malone of the NYPSC argued for the states.  Deputy Solicitor General Kneedler argued for FERC.</w:t>
      </w:r>
    </w:p>
    <w:p>
      <w:pPr>
        <w:pStyle w:val="Normal"/>
        <w:tabs>
          <w:tab w:val="clear" w:pos="720"/>
          <w:tab w:val="left" w:pos="1440" w:leader="none"/>
        </w:tabs>
        <w:ind w:hanging="1440" w:start="1440" w:end="0"/>
        <w:rPr/>
      </w:pPr>
      <w:r>
        <w:rPr/>
      </w:r>
    </w:p>
    <w:p>
      <w:pPr>
        <w:pStyle w:val="Normal"/>
        <w:tabs>
          <w:tab w:val="clear" w:pos="720"/>
          <w:tab w:val="left" w:pos="1440" w:leader="none"/>
        </w:tabs>
        <w:ind w:hanging="1440" w:start="1440" w:end="0"/>
        <w:rPr/>
      </w:pPr>
      <w:r>
        <w:rPr/>
        <w:tab/>
        <w:t>All nine Justices were present, and all but Thomas participated in questioning.  Scalia, Breyer, and O’Connor were particular</w:t>
        <w:softHyphen/>
        <w:t xml:space="preserve">ly active. </w:t>
      </w:r>
    </w:p>
    <w:p>
      <w:pPr>
        <w:pStyle w:val="Normal"/>
        <w:tabs>
          <w:tab w:val="clear" w:pos="720"/>
          <w:tab w:val="left" w:pos="1440" w:leader="none"/>
        </w:tabs>
        <w:ind w:hanging="1440" w:start="1440" w:end="0"/>
        <w:rPr/>
      </w:pPr>
      <w:r>
        <w:rPr/>
      </w:r>
    </w:p>
    <w:p>
      <w:pPr>
        <w:pStyle w:val="Normal"/>
        <w:tabs>
          <w:tab w:val="clear" w:pos="720"/>
          <w:tab w:val="left" w:pos="1440" w:leader="none"/>
        </w:tabs>
        <w:ind w:hanging="1440" w:start="1440" w:end="0"/>
        <w:rPr/>
      </w:pPr>
      <w:r>
        <w:rPr/>
        <w:tab/>
        <w:t>A decision will certainly come before June 2002, probably much earlier in 2002.  Timing depends on how many opinions there are.  The Court is good at preventing pre-decision leaks.</w:t>
      </w:r>
    </w:p>
    <w:p>
      <w:pPr>
        <w:pStyle w:val="Normal"/>
        <w:tabs>
          <w:tab w:val="clear" w:pos="720"/>
          <w:tab w:val="left" w:pos="1440" w:leader="none"/>
        </w:tabs>
        <w:ind w:hanging="1440" w:start="1440" w:end="0"/>
        <w:rPr/>
      </w:pPr>
      <w:r>
        <w:rPr/>
      </w:r>
    </w:p>
    <w:p>
      <w:pPr>
        <w:pStyle w:val="Normal"/>
        <w:tabs>
          <w:tab w:val="clear" w:pos="720"/>
          <w:tab w:val="left" w:pos="1440" w:leader="none"/>
        </w:tabs>
        <w:ind w:hanging="1440" w:start="1440" w:end="0"/>
        <w:rPr/>
      </w:pPr>
      <w:r>
        <w:rPr>
          <w:i/>
          <w:iCs/>
        </w:rPr>
        <w:t>Assessment</w:t>
      </w:r>
      <w:r>
        <w:rPr/>
        <w:t>:</w:t>
        <w:tab/>
        <w:t>The Justices’ questions indicated they generally have a good understand</w:t>
        <w:softHyphen/>
        <w:t>ing of both the technical issues (the basics of operation of the grids) and the legal issues (FERC’s jurisdiction and FERC’s role in opening the grids to facilitate competition).  A Justice’s questions are not a sure guide to where he or she will come out, but in summary:</w:t>
      </w:r>
    </w:p>
    <w:p>
      <w:pPr>
        <w:pStyle w:val="Normal"/>
        <w:tabs>
          <w:tab w:val="clear" w:pos="720"/>
          <w:tab w:val="left" w:pos="1440" w:leader="none"/>
        </w:tabs>
        <w:ind w:hanging="1440" w:start="1440" w:end="0"/>
        <w:rPr/>
      </w:pPr>
      <w:r>
        <w:rPr/>
      </w:r>
    </w:p>
    <w:p>
      <w:pPr>
        <w:pStyle w:val="Normal"/>
        <w:tabs>
          <w:tab w:val="clear" w:pos="720"/>
          <w:tab w:val="left" w:pos="1440" w:leader="none"/>
          <w:tab w:val="left" w:pos="2160" w:leader="none"/>
        </w:tabs>
        <w:ind w:hanging="2160" w:start="2160" w:end="0"/>
        <w:rPr/>
      </w:pPr>
      <w:r>
        <w:rPr/>
        <w:tab/>
        <w:t>(1)</w:t>
        <w:tab/>
        <w:t>It seems unlikely the Court will agree with New York that FERC overstepped its bounds.  Only Justice Scalia seemed interested in New York’s argument.  Most of the 70 minutes were spent on Qs and As on Enron’s argument.</w:t>
      </w:r>
    </w:p>
    <w:p>
      <w:pPr>
        <w:pStyle w:val="Normal"/>
        <w:tabs>
          <w:tab w:val="clear" w:pos="720"/>
          <w:tab w:val="left" w:pos="1440" w:leader="none"/>
          <w:tab w:val="left" w:pos="2160" w:leader="none"/>
        </w:tabs>
        <w:ind w:hanging="2160" w:start="2160" w:end="0"/>
        <w:rPr/>
      </w:pPr>
      <w:r>
        <w:rPr/>
      </w:r>
    </w:p>
    <w:p>
      <w:pPr>
        <w:pStyle w:val="Normal"/>
        <w:tabs>
          <w:tab w:val="clear" w:pos="720"/>
          <w:tab w:val="left" w:pos="1440" w:leader="none"/>
          <w:tab w:val="left" w:pos="2160" w:leader="none"/>
        </w:tabs>
        <w:ind w:hanging="2160" w:start="2160" w:end="0"/>
        <w:rPr/>
      </w:pPr>
      <w:r>
        <w:rPr/>
        <w:tab/>
        <w:t>(2)</w:t>
        <w:tab/>
        <w:t xml:space="preserve">There is a better than even chance that the Court will say, in one way or another, that FERC </w:t>
      </w:r>
      <w:r>
        <w:rPr>
          <w:i/>
          <w:iCs/>
        </w:rPr>
        <w:t>does</w:t>
      </w:r>
      <w:r>
        <w:rPr/>
        <w:t xml:space="preserve"> have jurisdiction to prevent utilities from discriminating in favor of their own “bundled retail” transmissions and against transmissions for EPMI and other non-utility suppliers.  Several Justices hammered FERC counsel on the jurisdictional point.</w:t>
      </w:r>
    </w:p>
    <w:p>
      <w:pPr>
        <w:pStyle w:val="Normal"/>
        <w:tabs>
          <w:tab w:val="clear" w:pos="720"/>
          <w:tab w:val="left" w:pos="1440" w:leader="none"/>
          <w:tab w:val="left" w:pos="2160" w:leader="none"/>
        </w:tabs>
        <w:ind w:hanging="2160" w:start="2160" w:end="0"/>
        <w:rPr/>
      </w:pPr>
      <w:r>
        <w:rPr/>
        <w:tab/>
      </w:r>
    </w:p>
    <w:p>
      <w:pPr>
        <w:pStyle w:val="Normal"/>
        <w:tabs>
          <w:tab w:val="clear" w:pos="720"/>
          <w:tab w:val="left" w:pos="1440" w:leader="none"/>
        </w:tabs>
        <w:ind w:hanging="1440" w:start="1440" w:end="0"/>
        <w:rPr/>
      </w:pPr>
      <w:r>
        <w:rPr/>
        <w:tab/>
        <w:t xml:space="preserve">If (1) and (2) prove correct, this would be a substantial victory EPMI, clearly opening the door to much more farreaching FERC open access orders.  </w:t>
      </w:r>
    </w:p>
    <w:p>
      <w:pPr>
        <w:pStyle w:val="Normal"/>
        <w:tabs>
          <w:tab w:val="clear" w:pos="720"/>
          <w:tab w:val="left" w:pos="1440" w:leader="none"/>
          <w:tab w:val="left" w:pos="2160" w:leader="none"/>
        </w:tabs>
        <w:ind w:hanging="2160" w:start="2160" w:end="0"/>
        <w:rPr/>
      </w:pPr>
      <w:r>
        <w:rPr/>
      </w:r>
    </w:p>
    <w:p>
      <w:pPr>
        <w:pStyle w:val="Normal"/>
        <w:tabs>
          <w:tab w:val="clear" w:pos="720"/>
          <w:tab w:val="left" w:pos="1440" w:leader="none"/>
          <w:tab w:val="left" w:pos="2160" w:leader="none"/>
        </w:tabs>
        <w:ind w:hanging="2160" w:start="2160" w:end="0"/>
        <w:rPr/>
      </w:pPr>
      <w:r>
        <w:rPr/>
        <w:tab/>
        <w:t>(3)</w:t>
        <w:tab/>
        <w:t xml:space="preserve">It is possible, but less likely, that the Court will itself order FERC to give new consideration to applying the OATT to bundled retail sales.  The more likely alternative is a Court ruling telling FERC it has jurisdiction but leaving it entirely to FERC to decide what to do next.  </w:t>
      </w:r>
    </w:p>
    <w:p>
      <w:pPr>
        <w:pStyle w:val="Normal"/>
        <w:tabs>
          <w:tab w:val="clear" w:pos="720"/>
          <w:tab w:val="left" w:pos="1440" w:leader="none"/>
          <w:tab w:val="left" w:pos="2160" w:leader="none"/>
        </w:tabs>
        <w:ind w:hanging="2160" w:start="2160" w:end="0"/>
        <w:rPr/>
      </w:pPr>
      <w:r>
        <w:rPr/>
      </w:r>
    </w:p>
    <w:p>
      <w:pPr>
        <w:pStyle w:val="Normal"/>
        <w:tabs>
          <w:tab w:val="clear" w:pos="720"/>
          <w:tab w:val="left" w:pos="1440" w:leader="none"/>
        </w:tabs>
        <w:ind w:hanging="1440" w:start="1440" w:end="0"/>
        <w:rPr>
          <w:i/>
          <w:i/>
          <w:iCs/>
        </w:rPr>
      </w:pPr>
      <w:r>
        <w:rPr>
          <w:i/>
          <w:iCs/>
        </w:rPr>
        <w:t>EPMI’s</w:t>
      </w:r>
    </w:p>
    <w:p>
      <w:pPr>
        <w:pStyle w:val="Normal"/>
        <w:tabs>
          <w:tab w:val="clear" w:pos="720"/>
          <w:tab w:val="left" w:pos="1440" w:leader="none"/>
        </w:tabs>
        <w:ind w:hanging="1440" w:start="1440" w:end="0"/>
        <w:rPr/>
      </w:pPr>
      <w:r>
        <w:rPr>
          <w:i/>
          <w:iCs/>
        </w:rPr>
        <w:t>Strategy</w:t>
      </w:r>
      <w:r>
        <w:rPr/>
        <w:t>:</w:t>
        <w:tab/>
        <w:t xml:space="preserve">The argument strongly vindicated EPMI’s strategy of filing its own petition and participating actively in this case: </w:t>
      </w:r>
    </w:p>
    <w:p>
      <w:pPr>
        <w:pStyle w:val="Normal"/>
        <w:tabs>
          <w:tab w:val="clear" w:pos="720"/>
          <w:tab w:val="left" w:pos="1440" w:leader="none"/>
        </w:tabs>
        <w:ind w:hanging="1440" w:start="1440" w:end="0"/>
        <w:rPr/>
      </w:pPr>
      <w:r>
        <w:rPr/>
      </w:r>
    </w:p>
    <w:p>
      <w:pPr>
        <w:pStyle w:val="Normal"/>
        <w:tabs>
          <w:tab w:val="clear" w:pos="720"/>
          <w:tab w:val="left" w:pos="1440" w:leader="none"/>
          <w:tab w:val="left" w:pos="2160" w:leader="none"/>
        </w:tabs>
        <w:ind w:hanging="2160" w:start="2160" w:end="0"/>
        <w:rPr/>
      </w:pPr>
      <w:r>
        <w:rPr/>
        <w:tab/>
        <w:t>--</w:t>
        <w:tab/>
        <w:t xml:space="preserve">EPMI’s participation shaped the Court’s view of the case, shifting the focus away from New York’s “states’ rights” issues and to the national economic importance of fully opening the grid. </w:t>
      </w:r>
    </w:p>
    <w:p>
      <w:pPr>
        <w:pStyle w:val="Normal"/>
        <w:tabs>
          <w:tab w:val="clear" w:pos="720"/>
          <w:tab w:val="left" w:pos="1440" w:leader="none"/>
        </w:tabs>
        <w:ind w:hanging="1440" w:start="1440" w:end="0"/>
        <w:rPr/>
      </w:pPr>
      <w:r>
        <w:rPr/>
      </w:r>
    </w:p>
    <w:p>
      <w:pPr>
        <w:pStyle w:val="Normal"/>
        <w:tabs>
          <w:tab w:val="clear" w:pos="720"/>
          <w:tab w:val="left" w:pos="1440" w:leader="none"/>
          <w:tab w:val="left" w:pos="2160" w:leader="none"/>
        </w:tabs>
        <w:ind w:hanging="2160" w:start="2160" w:end="0"/>
        <w:rPr/>
      </w:pPr>
      <w:r>
        <w:rPr/>
        <w:tab/>
        <w:t>--</w:t>
        <w:tab/>
        <w:t>EPMI and the “amici curiae” it recruited were able to give the Court a far better picture of the technical and legal issues than New York and FERC did.</w:t>
      </w:r>
    </w:p>
    <w:p>
      <w:pPr>
        <w:pStyle w:val="Normal"/>
        <w:tabs>
          <w:tab w:val="clear" w:pos="720"/>
          <w:tab w:val="left" w:pos="1440" w:leader="none"/>
          <w:tab w:val="left" w:pos="2160" w:leader="none"/>
        </w:tabs>
        <w:ind w:hanging="2160" w:start="2160" w:end="0"/>
        <w:rPr/>
      </w:pPr>
      <w:r>
        <w:rPr/>
      </w:r>
    </w:p>
    <w:p>
      <w:pPr>
        <w:pStyle w:val="Normal"/>
        <w:tabs>
          <w:tab w:val="clear" w:pos="720"/>
          <w:tab w:val="left" w:pos="1440" w:leader="none"/>
          <w:tab w:val="left" w:pos="2160" w:leader="none"/>
        </w:tabs>
        <w:ind w:hanging="2160" w:start="2160" w:end="0"/>
        <w:rPr/>
      </w:pPr>
      <w:r>
        <w:rPr/>
        <w:tab/>
        <w:t>--</w:t>
        <w:tab/>
        <w:t xml:space="preserve">EPMI’s participation seems likely to have persuaded the Court on the highly important jurisdictional issue--which means FERC will be able to take the right steps without further legislation.  This point could well have been lost if EPMI were not a party. </w:t>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w:drawing>
        <wp:anchor behindDoc="1" distT="0" distB="0" distL="114935" distR="114935" simplePos="0" locked="0" layoutInCell="0" allowOverlap="1" relativeHeight="2">
          <wp:simplePos x="0" y="0"/>
          <wp:positionH relativeFrom="page">
            <wp:posOffset>2809875</wp:posOffset>
          </wp:positionH>
          <wp:positionV relativeFrom="page">
            <wp:posOffset>800100</wp:posOffset>
          </wp:positionV>
          <wp:extent cx="2152015" cy="774065"/>
          <wp:effectExtent l="0" t="0" r="0" b="0"/>
          <wp:wrapNone/>
          <wp:docPr id="1" name="LtrHd_Center_DC_WashingtonDC"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rHd_Center_DC_WashingtonDC" descr="" title=""/>
                  <pic:cNvPicPr>
                    <a:picLocks noChangeAspect="1" noChangeArrowheads="1"/>
                  </pic:cNvPicPr>
                </pic:nvPicPr>
                <pic:blipFill>
                  <a:blip r:embed="rId1"/>
                  <a:srcRect l="-17" t="-47" r="-17" b="-47"/>
                  <a:stretch>
                    <a:fillRect/>
                  </a:stretch>
                </pic:blipFill>
                <pic:spPr bwMode="auto">
                  <a:xfrm>
                    <a:off x="0" y="0"/>
                    <a:ext cx="2152015" cy="774065"/>
                  </a:xfrm>
                  <a:prstGeom prst="rect">
                    <a:avLst/>
                  </a:prstGeom>
                  <a:noFill/>
                </pic:spPr>
              </pic:pic>
            </a:graphicData>
          </a:graphic>
        </wp:anchor>
      </w:drawing>
      <w:drawing>
        <wp:anchor behindDoc="1" distT="0" distB="0" distL="114935" distR="114935" simplePos="0" locked="0" layoutInCell="0" allowOverlap="1" relativeHeight="3">
          <wp:simplePos x="0" y="0"/>
          <wp:positionH relativeFrom="page">
            <wp:posOffset>6260465</wp:posOffset>
          </wp:positionH>
          <wp:positionV relativeFrom="page">
            <wp:posOffset>800100</wp:posOffset>
          </wp:positionV>
          <wp:extent cx="871855" cy="658495"/>
          <wp:effectExtent l="0" t="0" r="0" b="0"/>
          <wp:wrapNone/>
          <wp:docPr id="2" name="LtrHd_Right_OfficeName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rHd_Right_OfficeNames" descr="" title=""/>
                  <pic:cNvPicPr>
                    <a:picLocks noChangeAspect="1" noChangeArrowheads="1"/>
                  </pic:cNvPicPr>
                </pic:nvPicPr>
                <pic:blipFill>
                  <a:blip r:embed="rId2"/>
                  <a:srcRect l="-41" t="-55" r="-41" b="-55"/>
                  <a:stretch>
                    <a:fillRect/>
                  </a:stretch>
                </pic:blipFill>
                <pic:spPr bwMode="auto">
                  <a:xfrm>
                    <a:off x="0" y="0"/>
                    <a:ext cx="871855" cy="65849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i w:val="false"/>
        <w:b w:val="false"/>
      </w:rPr>
    </w:lvl>
    <w:lvl w:ilvl="4">
      <w:start w:val="1"/>
      <w:pStyle w:val="Heading5"/>
      <w:numFmt w:val="decimal"/>
      <w:lvlText w:val="(%5)"/>
      <w:lvlJc w:val="start"/>
      <w:pPr>
        <w:tabs>
          <w:tab w:val="num" w:pos="3600"/>
        </w:tabs>
        <w:ind w:start="3600" w:hanging="720"/>
      </w:pPr>
      <w:rPr/>
    </w:lvl>
    <w:lvl w:ilvl="5">
      <w:start w:val="1"/>
      <w:pStyle w:val="Heading6"/>
      <w:numFmt w:val="lowerLetter"/>
      <w:lvlText w:val="(%6)"/>
      <w:lvlJc w:val="start"/>
      <w:pPr>
        <w:tabs>
          <w:tab w:val="num" w:pos="4320"/>
        </w:tabs>
        <w:ind w:start="4320" w:hanging="720"/>
      </w:pPr>
      <w:rPr/>
    </w:lvl>
    <w:lvl w:ilvl="6">
      <w:start w:val="1"/>
      <w:pStyle w:val="Heading7"/>
      <w:numFmt w:val="lowerRoman"/>
      <w:lvlText w:val="(%7)"/>
      <w:lvlJc w:val="start"/>
      <w:pPr>
        <w:tabs>
          <w:tab w:val="num" w:pos="5040"/>
        </w:tabs>
        <w:ind w:start="5040" w:hanging="720"/>
      </w:pPr>
      <w:rPr/>
    </w:lvl>
    <w:lvl w:ilvl="7">
      <w:start w:val="1"/>
      <w:pStyle w:val="Heading8"/>
      <w:numFmt w:val="lowerLetter"/>
      <w:lvlText w:val="(%8)"/>
      <w:lvlJc w:val="start"/>
      <w:pPr>
        <w:tabs>
          <w:tab w:val="num" w:pos="5760"/>
        </w:tabs>
        <w:ind w:start="5760" w:hanging="720"/>
      </w:pPr>
      <w:rPr/>
    </w:lvl>
    <w:lvl w:ilvl="8">
      <w:start w:val="1"/>
      <w:pStyle w:val="Heading9"/>
      <w:numFmt w:val="lowerRoman"/>
      <w:lvlText w:val="(%9)"/>
      <w:lvlJc w:val="start"/>
      <w:pPr>
        <w:tabs>
          <w:tab w:val="num" w:pos="6480"/>
        </w:tabs>
        <w:ind w:start="6480" w:hanging="720"/>
      </w:pPr>
      <w:r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0" w:after="240"/>
      <w:outlineLvl w:val="0"/>
    </w:pPr>
    <w:rPr>
      <w:b/>
      <w:bCs/>
      <w:kern w:val="2"/>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tabs>
        <w:tab w:val="clear" w:pos="720"/>
        <w:tab w:val="left" w:pos="1170" w:leader="none"/>
      </w:tabs>
      <w:spacing w:before="0" w:after="240"/>
      <w:outlineLvl w:val="2"/>
    </w:pPr>
    <w:rPr/>
  </w:style>
  <w:style w:type="paragraph" w:styleId="Heading4">
    <w:name w:val="heading 4"/>
    <w:basedOn w:val="Normal"/>
    <w:next w:val="BodyText"/>
    <w:qFormat/>
    <w:pPr>
      <w:numPr>
        <w:ilvl w:val="3"/>
        <w:numId w:val="1"/>
      </w:numPr>
      <w:spacing w:before="0" w:after="120"/>
      <w:outlineLvl w:val="3"/>
    </w:pPr>
    <w:rPr/>
  </w:style>
  <w:style w:type="paragraph" w:styleId="Heading5">
    <w:name w:val="heading 5"/>
    <w:basedOn w:val="Normal"/>
    <w:next w:val="BodyText"/>
    <w:qFormat/>
    <w:pPr>
      <w:numPr>
        <w:ilvl w:val="4"/>
        <w:numId w:val="1"/>
      </w:numPr>
      <w:spacing w:before="0" w:after="120"/>
      <w:outlineLvl w:val="4"/>
    </w:pPr>
    <w:rPr/>
  </w:style>
  <w:style w:type="paragraph" w:styleId="Heading6">
    <w:name w:val="heading 6"/>
    <w:basedOn w:val="Normal"/>
    <w:next w:val="BodyText"/>
    <w:qFormat/>
    <w:pPr>
      <w:numPr>
        <w:ilvl w:val="5"/>
        <w:numId w:val="1"/>
      </w:numPr>
      <w:spacing w:before="0" w:after="120"/>
      <w:outlineLvl w:val="5"/>
    </w:pPr>
    <w:rPr>
      <w:iCs/>
    </w:rPr>
  </w:style>
  <w:style w:type="paragraph" w:styleId="Heading7">
    <w:name w:val="heading 7"/>
    <w:basedOn w:val="Normal"/>
    <w:next w:val="BodyText"/>
    <w:qFormat/>
    <w:pPr>
      <w:numPr>
        <w:ilvl w:val="6"/>
        <w:numId w:val="1"/>
      </w:numPr>
      <w:spacing w:before="0" w:after="120"/>
      <w:outlineLvl w:val="6"/>
    </w:pPr>
    <w:rPr/>
  </w:style>
  <w:style w:type="paragraph" w:styleId="Heading8">
    <w:name w:val="heading 8"/>
    <w:basedOn w:val="Normal"/>
    <w:next w:val="BodyText"/>
    <w:qFormat/>
    <w:pPr>
      <w:numPr>
        <w:ilvl w:val="7"/>
        <w:numId w:val="1"/>
      </w:numPr>
      <w:spacing w:before="0" w:after="120"/>
      <w:outlineLvl w:val="7"/>
    </w:pPr>
    <w:rPr>
      <w:iCs/>
    </w:rPr>
  </w:style>
  <w:style w:type="paragraph" w:styleId="Heading9">
    <w:name w:val="heading 9"/>
    <w:basedOn w:val="Normal"/>
    <w:next w:val="BodyText"/>
    <w:qFormat/>
    <w:pPr>
      <w:numPr>
        <w:ilvl w:val="8"/>
        <w:numId w:val="1"/>
      </w:numPr>
      <w:spacing w:before="0" w:after="120"/>
      <w:outlineLvl w:val="8"/>
    </w:pPr>
    <w:rPr>
      <w:bCs/>
      <w:iC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3">
    <w:name w:val="WW8Num12z3"/>
    <w:qFormat/>
    <w:rPr>
      <w:b w:val="false"/>
      <w:i w:val="false"/>
    </w:rPr>
  </w:style>
  <w:style w:type="character" w:styleId="WW8Num13z0">
    <w:name w:val="WW8Num13z0"/>
    <w:qFormat/>
    <w:rPr>
      <w:rFonts w:ascii="Wingdings" w:hAnsi="Wingdings" w:cs="Wingdings"/>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4z0">
    <w:name w:val="WW8Num14z0"/>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DefaultParagraphFont">
    <w:name w:val="Default Paragraph Font"/>
    <w:qFormat/>
    <w:rPr/>
  </w:style>
  <w:style w:type="character" w:styleId="HiddenText">
    <w:name w:val="Hidden Text"/>
    <w:basedOn w:val="DefaultParagraphFont"/>
    <w:qFormat/>
    <w:rPr>
      <w:vanish/>
      <w:color w:val="0000FF"/>
    </w:rPr>
  </w:style>
  <w:style w:type="character" w:styleId="FootnoteCharacters">
    <w:name w:val="Footnote Characters"/>
    <w:basedOn w:val="DefaultParagraphFont"/>
    <w:qFormat/>
    <w:rPr>
      <w:strike w:val="false"/>
      <w:dstrike w:val="false"/>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WCPBodyIndentDouble">
    <w:name w:val="WCP_Body Indent Double"/>
    <w:basedOn w:val="Normal"/>
    <w:qFormat/>
    <w:pPr>
      <w:spacing w:lineRule="auto" w:line="480"/>
      <w:ind w:firstLine="720" w:start="0" w:end="0"/>
    </w:pPr>
    <w:rPr/>
  </w:style>
  <w:style w:type="paragraph" w:styleId="WCPBodyIndent">
    <w:name w:val="WCP_Body Indent"/>
    <w:basedOn w:val="Normal"/>
    <w:qFormat/>
    <w:pPr>
      <w:spacing w:before="0" w:after="240"/>
      <w:ind w:firstLine="720" w:start="0" w:end="0"/>
    </w:pPr>
    <w:rPr/>
  </w:style>
  <w:style w:type="paragraph" w:styleId="WCPBulletDouble">
    <w:name w:val="WCP_Bullet Double"/>
    <w:basedOn w:val="Normal"/>
    <w:qFormat/>
    <w:pPr>
      <w:numPr>
        <w:ilvl w:val="0"/>
        <w:numId w:val="5"/>
      </w:numPr>
      <w:tabs>
        <w:tab w:val="clear" w:pos="720"/>
        <w:tab w:val="left" w:pos="1440" w:leader="none"/>
      </w:tabs>
      <w:spacing w:lineRule="auto" w:line="480" w:before="0" w:after="240"/>
    </w:pPr>
    <w:rPr/>
  </w:style>
  <w:style w:type="paragraph" w:styleId="WCPBullet">
    <w:name w:val="WCP_Bullet"/>
    <w:basedOn w:val="Normal"/>
    <w:qFormat/>
    <w:pPr>
      <w:numPr>
        <w:ilvl w:val="0"/>
        <w:numId w:val="4"/>
      </w:numPr>
      <w:tabs>
        <w:tab w:val="clear" w:pos="720"/>
        <w:tab w:val="left" w:pos="1080" w:leader="none"/>
        <w:tab w:val="left" w:pos="1440" w:leader="none"/>
      </w:tabs>
      <w:spacing w:before="0" w:after="240"/>
      <w:ind w:hanging="0" w:start="1080" w:end="0"/>
    </w:pPr>
    <w:rPr/>
  </w:style>
  <w:style w:type="paragraph" w:styleId="WCPLeftIndent">
    <w:name w:val="WCP_LeftIndent"/>
    <w:basedOn w:val="Normal"/>
    <w:qFormat/>
    <w:pPr>
      <w:spacing w:before="0" w:after="240"/>
    </w:pPr>
    <w:rPr/>
  </w:style>
  <w:style w:type="paragraph" w:styleId="WCPLeftIndent2">
    <w:name w:val="WCP_LeftIndent2"/>
    <w:basedOn w:val="Normal"/>
    <w:qFormat/>
    <w:pPr>
      <w:spacing w:lineRule="auto" w:line="480"/>
    </w:pPr>
    <w:rPr/>
  </w:style>
  <w:style w:type="paragraph" w:styleId="WCPListContinue2">
    <w:name w:val="WCP_List Continue 2"/>
    <w:basedOn w:val="Normal"/>
    <w:qFormat/>
    <w:pPr>
      <w:spacing w:before="0" w:after="240"/>
      <w:ind w:hanging="0" w:start="720" w:end="0"/>
    </w:pPr>
    <w:rPr/>
  </w:style>
  <w:style w:type="paragraph" w:styleId="WCPListContinue">
    <w:name w:val="WCP_List Continue"/>
    <w:basedOn w:val="Normal"/>
    <w:qFormat/>
    <w:pPr>
      <w:spacing w:before="0" w:after="240"/>
      <w:ind w:hanging="0" w:start="360" w:end="0"/>
    </w:pPr>
    <w:rPr/>
  </w:style>
  <w:style w:type="paragraph" w:styleId="WCPListNumber">
    <w:name w:val="WCP_List Number"/>
    <w:basedOn w:val="Normal"/>
    <w:qFormat/>
    <w:pPr>
      <w:numPr>
        <w:ilvl w:val="0"/>
        <w:numId w:val="3"/>
      </w:numPr>
      <w:spacing w:before="0" w:after="240"/>
    </w:pPr>
    <w:rPr/>
  </w:style>
  <w:style w:type="paragraph" w:styleId="WCPListNumber2">
    <w:name w:val="WCP_List Number2"/>
    <w:basedOn w:val="Normal"/>
    <w:qFormat/>
    <w:pPr>
      <w:numPr>
        <w:ilvl w:val="0"/>
        <w:numId w:val="2"/>
      </w:numPr>
      <w:spacing w:before="0" w:after="240"/>
    </w:pPr>
    <w:rPr/>
  </w:style>
  <w:style w:type="paragraph" w:styleId="WCPQuote">
    <w:name w:val="WCP_Quote"/>
    <w:basedOn w:val="Normal"/>
    <w:qFormat/>
    <w:pPr>
      <w:spacing w:before="0" w:after="240"/>
      <w:ind w:hanging="0" w:start="1440" w:end="1440"/>
      <w:jc w:val="both"/>
    </w:pPr>
    <w:rPr/>
  </w:style>
  <w:style w:type="paragraph" w:styleId="WCPReLine">
    <w:name w:val="WCP_ReLine"/>
    <w:basedOn w:val="Normal"/>
    <w:qFormat/>
    <w:pPr>
      <w:spacing w:before="0" w:after="360"/>
      <w:ind w:hanging="720" w:start="720" w:end="1440"/>
    </w:pPr>
    <w:rPr/>
  </w:style>
  <w:style w:type="paragraph" w:styleId="WCPSignature">
    <w:name w:val="WCP_Signature"/>
    <w:basedOn w:val="Normal"/>
    <w:qFormat/>
    <w:pPr>
      <w:spacing w:before="0" w:after="720"/>
      <w:ind w:hanging="0" w:start="4320" w:end="0"/>
    </w:pPr>
    <w:rPr/>
  </w:style>
  <w:style w:type="paragraph" w:styleId="WCPTitle">
    <w:name w:val="WCP_Title"/>
    <w:basedOn w:val="Normal"/>
    <w:qFormat/>
    <w:pPr>
      <w:spacing w:before="240" w:after="240"/>
      <w:jc w:val="center"/>
    </w:pPr>
    <w:rPr>
      <w:b/>
      <w:kern w:val="2"/>
      <w:sz w:val="28"/>
    </w:rPr>
  </w:style>
  <w:style w:type="paragraph" w:styleId="FootnoteText">
    <w:name w:val="footnote text"/>
    <w:basedOn w:val="Normal"/>
    <w:pPr>
      <w:spacing w:before="0" w:after="240"/>
    </w:pPr>
    <w:rPr/>
  </w:style>
  <w:style w:type="paragraph" w:styleId="FootnoteIndent">
    <w:name w:val="Footnote Indent"/>
    <w:basedOn w:val="FootnoteText"/>
    <w:qFormat/>
    <w:pPr>
      <w:spacing w:before="0" w:after="240"/>
      <w:ind w:hanging="0" w:start="720" w:end="360"/>
    </w:pPr>
    <w:rPr/>
  </w:style>
  <w:style w:type="paragraph" w:styleId="ltrdate">
    <w:name w:val="ltr date"/>
    <w:basedOn w:val="Normal"/>
    <w:next w:val="Normal"/>
    <w:qFormat/>
    <w:pPr>
      <w:spacing w:before="1200" w:after="480"/>
      <w:jc w:val="center"/>
    </w:pPr>
    <w:rPr/>
  </w:style>
  <w:style w:type="paragraph" w:styleId="Salutation">
    <w:name w:val="Salutation"/>
    <w:basedOn w:val="Normal"/>
    <w:next w:val="Normal"/>
    <w:qFormat/>
    <w:pPr>
      <w:spacing w:before="240" w:after="240"/>
    </w:pPr>
    <w:rPr/>
  </w:style>
  <w:style w:type="paragraph" w:styleId="TOC2">
    <w:name w:val="toc 2"/>
    <w:basedOn w:val="Normal"/>
    <w:next w:val="Normal"/>
    <w:pPr>
      <w:ind w:hanging="0" w:start="720" w:end="0"/>
    </w:pPr>
    <w:rPr/>
  </w:style>
  <w:style w:type="paragraph" w:styleId="TOC3">
    <w:name w:val="toc 3"/>
    <w:basedOn w:val="Normal"/>
    <w:next w:val="Normal"/>
    <w:pPr>
      <w:ind w:hanging="0" w:start="1440" w:end="0"/>
    </w:pPr>
    <w:rPr/>
  </w:style>
  <w:style w:type="paragraph" w:styleId="TOC4">
    <w:name w:val="toc 4"/>
    <w:basedOn w:val="Normal"/>
    <w:next w:val="Normal"/>
    <w:pPr>
      <w:ind w:hanging="0" w:start="2160" w:end="0"/>
    </w:pPr>
    <w:rPr/>
  </w:style>
  <w:style w:type="paragraph" w:styleId="TOC5">
    <w:name w:val="toc 5"/>
    <w:basedOn w:val="Normal"/>
    <w:next w:val="Normal"/>
    <w:pPr>
      <w:ind w:hanging="0" w:start="2880" w:end="0"/>
    </w:pPr>
    <w:rPr/>
  </w:style>
  <w:style w:type="paragraph" w:styleId="TOC6">
    <w:name w:val="toc 6"/>
    <w:basedOn w:val="Normal"/>
    <w:next w:val="Normal"/>
    <w:pPr>
      <w:ind w:hanging="0" w:start="3600" w:end="0"/>
    </w:pPr>
    <w:rPr/>
  </w:style>
  <w:style w:type="paragraph" w:styleId="TOC7">
    <w:name w:val="toc 7"/>
    <w:basedOn w:val="Normal"/>
    <w:next w:val="Normal"/>
    <w:pPr>
      <w:ind w:hanging="0" w:start="4320" w:end="0"/>
    </w:pPr>
    <w:rPr/>
  </w:style>
  <w:style w:type="paragraph" w:styleId="TOC8">
    <w:name w:val="toc 8"/>
    <w:basedOn w:val="Normal"/>
    <w:next w:val="Normal"/>
    <w:pPr>
      <w:ind w:hanging="0" w:start="5040" w:end="0"/>
    </w:pPr>
    <w:rPr/>
  </w:style>
  <w:style w:type="paragraph" w:styleId="TOC9">
    <w:name w:val="toc 9"/>
    <w:basedOn w:val="Normal"/>
    <w:next w:val="Normal"/>
    <w:pPr>
      <w:ind w:hanging="0" w:start="5760" w:end="0"/>
    </w:pPr>
    <w:rPr/>
  </w:style>
  <w:style w:type="paragraph" w:styleId="WCPHeading1Block">
    <w:name w:val="WCP Heading 1 Block"/>
    <w:basedOn w:val="Normal"/>
    <w:qFormat/>
    <w:pPr>
      <w:spacing w:before="0" w:after="240"/>
      <w:ind w:hanging="0" w:start="720" w:end="0"/>
    </w:pPr>
    <w:rPr/>
  </w:style>
  <w:style w:type="paragraph" w:styleId="WCPHeading2Block">
    <w:name w:val="WCP Heading 2 Block"/>
    <w:basedOn w:val="Normal"/>
    <w:qFormat/>
    <w:pPr>
      <w:spacing w:before="0" w:after="240"/>
      <w:ind w:hanging="0" w:start="1440" w:end="0"/>
    </w:pPr>
    <w:rPr/>
  </w:style>
  <w:style w:type="paragraph" w:styleId="WCPHeading3Block">
    <w:name w:val="WCP Heading 3 Block"/>
    <w:basedOn w:val="Normal"/>
    <w:qFormat/>
    <w:pPr>
      <w:spacing w:before="0" w:after="240"/>
      <w:ind w:hanging="0" w:start="2160" w:end="0"/>
    </w:pPr>
    <w:rPr/>
  </w:style>
  <w:style w:type="paragraph" w:styleId="WCPHeading4Block">
    <w:name w:val="WCP Heading 4 Block"/>
    <w:basedOn w:val="Normal"/>
    <w:qFormat/>
    <w:pPr>
      <w:spacing w:before="0" w:after="240"/>
      <w:ind w:hanging="0" w:start="2880" w:end="0"/>
    </w:pPr>
    <w:rPr/>
  </w:style>
  <w:style w:type="paragraph" w:styleId="WCPHeading5Block">
    <w:name w:val="WCP Heading 5 Block"/>
    <w:basedOn w:val="Normal"/>
    <w:qFormat/>
    <w:pPr>
      <w:spacing w:before="0" w:after="240"/>
      <w:ind w:hanging="0" w:start="3600" w:end="0"/>
    </w:pPr>
    <w:rPr/>
  </w:style>
  <w:style w:type="paragraph" w:styleId="WCPHeading6Block">
    <w:name w:val="WCP Heading 6 Block"/>
    <w:basedOn w:val="Normal"/>
    <w:qFormat/>
    <w:pPr>
      <w:spacing w:before="0" w:after="240"/>
      <w:ind w:hanging="0" w:start="4320" w:end="0"/>
    </w:pPr>
    <w:rPr/>
  </w:style>
  <w:style w:type="paragraph" w:styleId="WCPHeading7Block">
    <w:name w:val="WCP Heading 7 Block"/>
    <w:basedOn w:val="Normal"/>
    <w:qFormat/>
    <w:pPr>
      <w:spacing w:before="0" w:after="240"/>
      <w:ind w:hanging="0" w:start="5040" w:end="0"/>
    </w:pPr>
    <w:rPr/>
  </w:style>
  <w:style w:type="paragraph" w:styleId="WCPHeading8Block">
    <w:name w:val="WCP Heading 8 Block"/>
    <w:basedOn w:val="Normal"/>
    <w:qFormat/>
    <w:pPr>
      <w:spacing w:before="0" w:after="240"/>
      <w:ind w:hanging="0" w:start="5760" w:end="0"/>
    </w:pPr>
    <w:rPr/>
  </w:style>
  <w:style w:type="paragraph" w:styleId="WCPHeading9Block">
    <w:name w:val="WCP Heading 9 Block"/>
    <w:basedOn w:val="Normal"/>
    <w:qFormat/>
    <w:pPr>
      <w:spacing w:before="0" w:after="240"/>
      <w:ind w:hanging="0" w:start="64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DC_Letter_ShortOffices_85x11.DOT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2001-10-05T11:53:00Z</dcterms:created>
  <dc:creator>5343</dc:creator>
  <dc:description/>
  <dc:language>en-CA</dc:language>
  <cp:lastModifiedBy>0096</cp:lastModifiedBy>
  <cp:lastPrinted>2000-03-30T17:07:00Z</cp:lastPrinted>
  <dcterms:modified xsi:type="dcterms:W3CDTF">2001-10-05T12:14:00Z</dcterms:modified>
  <cp:revision>4</cp:revision>
  <dc:subject>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Jensen, Margie</vt:lpwstr>
  </property>
  <property fmtid="{D5CDD505-2E9C-101B-9397-08002B2CF9AE}" pid="3" name="ClientName">
    <vt:lpwstr>ENRON POWER MARKETING, INC.</vt:lpwstr>
  </property>
  <property fmtid="{D5CDD505-2E9C-101B-9397-08002B2CF9AE}" pid="4" name="ClientNumber">
    <vt:lpwstr>253210</vt:lpwstr>
  </property>
  <property fmtid="{D5CDD505-2E9C-101B-9397-08002B2CF9AE}" pid="5" name="CreatedBy">
    <vt:lpwstr>5343</vt:lpwstr>
  </property>
  <property fmtid="{D5CDD505-2E9C-101B-9397-08002B2CF9AE}" pid="6" name="CreatedByName">
    <vt:lpwstr>Jensen, Margie</vt:lpwstr>
  </property>
  <property fmtid="{D5CDD505-2E9C-101B-9397-08002B2CF9AE}" pid="7" name="Department">
    <vt:lpwstr/>
  </property>
  <property fmtid="{D5CDD505-2E9C-101B-9397-08002B2CF9AE}" pid="8" name="DeptAbbr">
    <vt:lpwstr/>
  </property>
  <property fmtid="{D5CDD505-2E9C-101B-9397-08002B2CF9AE}" pid="9" name="DocNumber">
    <vt:lpwstr>VWWUZ183UAN</vt:lpwstr>
  </property>
  <property fmtid="{D5CDD505-2E9C-101B-9397-08002B2CF9AE}" pid="10" name="DocumentClass">
    <vt:r8>1</vt:r8>
  </property>
  <property fmtid="{D5CDD505-2E9C-101B-9397-08002B2CF9AE}" pid="11" name="Final">
    <vt:bool>0</vt:bool>
  </property>
  <property fmtid="{D5CDD505-2E9C-101B-9397-08002B2CF9AE}" pid="12" name="MatterName">
    <vt:lpwstr>NEW YORK V. FERC</vt:lpwstr>
  </property>
  <property fmtid="{D5CDD505-2E9C-101B-9397-08002B2CF9AE}" pid="13" name="MatterNumber">
    <vt:lpwstr>0003</vt:lpwstr>
  </property>
  <property fmtid="{D5CDD505-2E9C-101B-9397-08002B2CF9AE}" pid="14" name="PrintBillClient">
    <vt:lpwstr/>
  </property>
  <property fmtid="{D5CDD505-2E9C-101B-9397-08002B2CF9AE}" pid="15" name="PrintBillMatter">
    <vt:lpwstr/>
  </property>
  <property fmtid="{D5CDD505-2E9C-101B-9397-08002B2CF9AE}" pid="16" name="UnVerified">
    <vt:bool>0</vt:bool>
  </property>
  <property fmtid="{D5CDD505-2E9C-101B-9397-08002B2CF9AE}" pid="17" name="WCPDMSDataVer">
    <vt:lpwstr>1</vt:lpwstr>
  </property>
  <property fmtid="{D5CDD505-2E9C-101B-9397-08002B2CF9AE}" pid="18" name="WPDocType1">
    <vt:lpwstr/>
  </property>
  <property fmtid="{D5CDD505-2E9C-101B-9397-08002B2CF9AE}" pid="19" name="WPDocType2">
    <vt:lpwstr/>
  </property>
  <property fmtid="{D5CDD505-2E9C-101B-9397-08002B2CF9AE}" pid="20" name="WPJurisCat">
    <vt:lpwstr/>
  </property>
  <property fmtid="{D5CDD505-2E9C-101B-9397-08002B2CF9AE}" pid="21" name="WPJurisdiction">
    <vt:lpwstr/>
  </property>
  <property fmtid="{D5CDD505-2E9C-101B-9397-08002B2CF9AE}" pid="22" name="WPLitigation">
    <vt:bool>0</vt:bool>
  </property>
  <property fmtid="{D5CDD505-2E9C-101B-9397-08002B2CF9AE}" pid="23" name="WPResearch">
    <vt:bool>0</vt:bool>
  </property>
  <property fmtid="{D5CDD505-2E9C-101B-9397-08002B2CF9AE}" pid="24" name="WPSpecialCollection">
    <vt:lpwstr/>
  </property>
  <property fmtid="{D5CDD505-2E9C-101B-9397-08002B2CF9AE}" pid="25" name="WPTransaction">
    <vt:bool>0</vt:bool>
  </property>
  <property fmtid="{D5CDD505-2E9C-101B-9397-08002B2CF9AE}" pid="26" name="WorkProduct">
    <vt:bool>0</vt:bool>
  </property>
</Properties>
</file>