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rFonts w:ascii="Times New Roman" w:hAnsi="Times New Roman" w:cs="Times New Roman"/>
          <w:b/>
          <w:sz w:val="22"/>
        </w:rPr>
      </w:pPr>
      <w:r>
        <w:rPr>
          <w:rFonts w:cs="Times New Roman" w:ascii="Times New Roman" w:hAnsi="Times New Roman"/>
          <w:b/>
          <w:sz w:val="22"/>
          <w:u w:val="single"/>
        </w:rPr>
        <w:t>DRAFT OF 05/26/99</w:t>
      </w:r>
    </w:p>
    <w:p>
      <w:pPr>
        <w:pStyle w:val="Normal"/>
        <w:spacing w:before="0" w:after="120"/>
        <w:jc w:val="center"/>
        <w:rPr>
          <w:rFonts w:ascii="Times New Roman" w:hAnsi="Times New Roman" w:cs="Times New Roman"/>
          <w:b/>
          <w:sz w:val="22"/>
        </w:rPr>
      </w:pPr>
      <w:r>
        <w:rPr>
          <w:rFonts w:cs="Times New Roman" w:ascii="Times New Roman" w:hAnsi="Times New Roman"/>
          <w:b/>
          <w:sz w:val="22"/>
        </w:rPr>
        <w:t>SCHEDULE</w:t>
        <w:br/>
        <w:t>to the</w:t>
        <w:br/>
        <w:t>MASTER AGREEMENT</w:t>
        <w:br/>
        <w:t>(Multicurrency-Cross Border)</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tabs>
          <w:tab w:val="clear" w:pos="720"/>
          <w:tab w:val="center" w:pos="5760" w:leader="none"/>
        </w:tabs>
        <w:spacing w:before="120" w:after="0"/>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CON EDISON SOLUTIONS, INC., a _____________ organized under the law of the ____________ of ________ (“Party B”)</w:t>
            </w:r>
          </w:p>
        </w:tc>
      </w:tr>
    </w:tbl>
    <w:p>
      <w:pPr>
        <w:pStyle w:val="Normal"/>
        <w:spacing w:before="480" w:after="0"/>
        <w:jc w:val="both"/>
        <w:rPr/>
      </w:pPr>
      <w:r>
        <w:rPr>
          <w:rFonts w:cs="Times New Roman" w:ascii="Times New Roman" w:hAnsi="Times New Roman"/>
          <w:b/>
          <w:sz w:val="22"/>
        </w:rPr>
        <w:t>Part 1.</w:t>
      </w:r>
      <w:r>
        <w:rPr>
          <w:rFonts w:cs="Times New Roman" w:ascii="Times New Roman" w:hAnsi="Times New Roman"/>
          <w:sz w:val="22"/>
        </w:rPr>
        <w:t xml:space="preserve"> </w:t>
      </w:r>
      <w:r>
        <w:rPr>
          <w:rFonts w:cs="Times New Roman" w:ascii="Times New Roman" w:hAnsi="Times New Roman"/>
          <w:b/>
          <w:sz w:val="22"/>
        </w:rPr>
        <w:t>Termination Provisions.</w:t>
      </w:r>
    </w:p>
    <w:p>
      <w:pPr>
        <w:pStyle w:val="Normal"/>
        <w:spacing w:lineRule="exact" w:line="240" w:before="240" w:after="0"/>
        <w:ind w:firstLine="720" w:end="0"/>
        <w:jc w:val="both"/>
        <w:rPr>
          <w:rFonts w:ascii="Times New Roman" w:hAnsi="Times New Roman" w:cs="Times New Roman"/>
          <w:color w:val="FF0000"/>
          <w:sz w:val="22"/>
        </w:rPr>
      </w:pPr>
      <w:r>
        <w:rPr>
          <w:rFonts w:cs="Times New Roman" w:ascii="Times New Roman" w:hAnsi="Times New Roman"/>
          <w:sz w:val="22"/>
        </w:rPr>
        <w:t>(a)</w:t>
        <w:tab/>
      </w:r>
      <w:r>
        <w:rPr>
          <w:rFonts w:cs="Times New Roman" w:ascii="Times New Roman" w:hAnsi="Times New Roman"/>
          <w:b/>
          <w:sz w:val="22"/>
        </w:rPr>
        <w:t>“Specified Entity”</w:t>
      </w:r>
      <w:r>
        <w:rPr>
          <w:rFonts w:cs="Times New Roman" w:ascii="Times New Roman" w:hAnsi="Times New Roman"/>
          <w:sz w:val="22"/>
        </w:rPr>
        <w:t xml:space="preserve"> means in relation to Party A, none; and in relation to Party B, none.</w:t>
      </w:r>
    </w:p>
    <w:p>
      <w:pPr>
        <w:pStyle w:val="Normal"/>
        <w:spacing w:lineRule="exact" w:line="240" w:before="240" w:after="0"/>
        <w:ind w:firstLine="720" w:end="0"/>
        <w:jc w:val="both"/>
        <w:rPr/>
      </w:pPr>
      <w:r>
        <w:rPr>
          <w:rFonts w:cs="Times New Roman" w:ascii="Times New Roman" w:hAnsi="Times New Roman"/>
          <w:sz w:val="22"/>
        </w:rPr>
        <w:t>(b)</w:t>
        <w:tab/>
        <w:t>The “</w:t>
      </w:r>
      <w:r>
        <w:rPr>
          <w:rFonts w:cs="Times New Roman" w:ascii="Times New Roman" w:hAnsi="Times New Roman"/>
          <w:b/>
          <w:sz w:val="22"/>
        </w:rPr>
        <w:t>Cross Default”</w:t>
      </w:r>
      <w:r>
        <w:rPr>
          <w:rFonts w:cs="Times New Roman" w:ascii="Times New Roman" w:hAnsi="Times New Roman"/>
          <w:sz w:val="22"/>
        </w:rPr>
        <w:t xml:space="preserve"> provisions of Section 5(a)(vi) will apply to Party A, and will apply to Party B.</w:t>
      </w:r>
    </w:p>
    <w:p>
      <w:pPr>
        <w:pStyle w:val="Normal"/>
        <w:spacing w:lineRule="exact" w:line="240" w:before="240" w:after="0"/>
        <w:ind w:start="360" w:end="0"/>
        <w:jc w:val="both"/>
        <w:rPr/>
      </w:pPr>
      <w:r>
        <w:rPr>
          <w:rFonts w:cs="Times New Roman" w:ascii="Times New Roman" w:hAnsi="Times New Roman"/>
          <w:b/>
          <w:sz w:val="22"/>
        </w:rPr>
        <w:t>“</w:t>
      </w:r>
      <w:r>
        <w:rPr>
          <w:rFonts w:cs="Times New Roman" w:ascii="Times New Roman" w:hAnsi="Times New Roman"/>
          <w:b/>
          <w:sz w:val="22"/>
        </w:rPr>
        <w:t>Threshold Amount”</w:t>
      </w:r>
      <w:r>
        <w:rPr>
          <w:rFonts w:cs="Times New Roman" w:ascii="Times New Roman" w:hAnsi="Times New Roman"/>
          <w:sz w:val="22"/>
        </w:rPr>
        <w:t xml:space="preserve"> means:  with respect to Party A, U.S. $50,000,000 (or its equivalent in another currency); with respect to Party A’s Credit Support Provider, U.S. $50,000,000 (or its equivalent in another currency); and with respect to Party B, U.S. $100,000 (or its equivalent in another currency).</w:t>
      </w:r>
    </w:p>
    <w:p>
      <w:pPr>
        <w:pStyle w:val="Normal"/>
        <w:spacing w:lineRule="exact" w:line="240" w:before="240" w:after="0"/>
        <w:ind w:firstLine="720" w:end="0"/>
        <w:jc w:val="both"/>
        <w:rPr/>
      </w:pPr>
      <w:r>
        <w:rPr>
          <w:rFonts w:cs="Times New Roman" w:ascii="Times New Roman" w:hAnsi="Times New Roman"/>
          <w:sz w:val="22"/>
        </w:rPr>
        <w:t>(c)</w:t>
        <w:tab/>
        <w:t xml:space="preserve">The </w:t>
      </w:r>
      <w:r>
        <w:rPr>
          <w:rFonts w:cs="Times New Roman" w:ascii="Times New Roman" w:hAnsi="Times New Roman"/>
          <w:b/>
          <w:sz w:val="22"/>
        </w:rPr>
        <w:t>“Credit Event Upon Merger”</w:t>
      </w:r>
      <w:r>
        <w:rPr>
          <w:rFonts w:cs="Times New Roman" w:ascii="Times New Roman" w:hAnsi="Times New Roman"/>
          <w:sz w:val="22"/>
        </w:rPr>
        <w:t xml:space="preserve"> provisions of Section 5(b)(iv) as amended below will apply to Party A and to Party B.</w:t>
      </w:r>
    </w:p>
    <w:p>
      <w:pPr>
        <w:pStyle w:val="Normal"/>
        <w:spacing w:lineRule="exact" w:line="240" w:before="240" w:after="0"/>
        <w:ind w:firstLine="720" w:end="0"/>
        <w:jc w:val="both"/>
        <w:rPr/>
      </w:pPr>
      <w:r>
        <w:rPr>
          <w:rFonts w:cs="Times New Roman" w:ascii="Times New Roman" w:hAnsi="Times New Roman"/>
          <w:sz w:val="22"/>
        </w:rPr>
        <w:t>(d)</w:t>
        <w:tab/>
        <w:t xml:space="preserve">The </w:t>
      </w:r>
      <w:r>
        <w:rPr>
          <w:rFonts w:cs="Times New Roman" w:ascii="Times New Roman" w:hAnsi="Times New Roman"/>
          <w:b/>
          <w:sz w:val="22"/>
        </w:rPr>
        <w:t>“Automatic Early Termination”</w:t>
      </w:r>
      <w:r>
        <w:rPr>
          <w:rFonts w:cs="Times New Roman" w:ascii="Times New Roman" w:hAnsi="Times New Roman"/>
          <w:sz w:val="22"/>
        </w:rPr>
        <w:t xml:space="preserve"> provision of Section 6(a) will not apply to Party A or to Party B.</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Payments on Early Termination.</w:t>
      </w:r>
      <w:r>
        <w:rPr>
          <w:rFonts w:cs="Times New Roman" w:ascii="Times New Roman" w:hAnsi="Times New Roman"/>
          <w:sz w:val="22"/>
        </w:rPr>
        <w:t xml:space="preserve">  For the purpose of Section 6(e):  (i) Loss will apply, and (ii) the Second Method will apply.</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“Termination Currency”</w:t>
      </w:r>
      <w:r>
        <w:rPr>
          <w:rFonts w:cs="Times New Roman" w:ascii="Times New Roman" w:hAnsi="Times New Roman"/>
          <w:sz w:val="22"/>
        </w:rPr>
        <w:t xml:space="preserve"> means United States Dollars.</w:t>
      </w:r>
    </w:p>
    <w:p>
      <w:pPr>
        <w:pStyle w:val="Normal"/>
        <w:numPr>
          <w:ilvl w:val="0"/>
          <w:numId w:val="2"/>
        </w:numPr>
        <w:spacing w:lineRule="exact" w:line="240" w:before="240" w:after="0"/>
        <w:jc w:val="both"/>
        <w:rPr>
          <w:rFonts w:ascii="Times New Roman" w:hAnsi="Times New Roman" w:cs="Times New Roman"/>
          <w:sz w:val="22"/>
        </w:rPr>
      </w:pPr>
      <w:r>
        <w:rPr>
          <w:rFonts w:cs="Times New Roman" w:ascii="Times New Roman" w:hAnsi="Times New Roman"/>
          <w:sz w:val="22"/>
        </w:rPr>
        <w:t>Section 5(b)(iv) is hereby amended by adding the following phrase between the closing parenthesis and the semicolon at the end thereof: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Times New Roman" w:ascii="Times New Roman" w:hAnsi="Times New Roman"/>
          <w:sz w:val="22"/>
          <w:u w:val="single"/>
        </w:rPr>
        <w:t>Annex A</w:t>
      </w:r>
      <w:r>
        <w:rPr>
          <w:rFonts w:cs="Times New Roman" w:ascii="Times New Roman" w:hAnsi="Times New Roman"/>
          <w:sz w:val="22"/>
        </w:rPr>
        <w:t xml:space="preserve">, but it shall be otherwise administered under </w:t>
      </w:r>
      <w:r>
        <w:rPr>
          <w:rFonts w:cs="Times New Roman" w:ascii="Times New Roman" w:hAnsi="Times New Roman"/>
          <w:sz w:val="22"/>
          <w:u w:val="single"/>
        </w:rPr>
        <w:t>Annex A</w:t>
      </w:r>
      <w:r>
        <w:rPr>
          <w:rFonts w:cs="Times New Roman" w:ascii="Times New Roman" w:hAnsi="Times New Roman"/>
          <w:sz w:val="22"/>
        </w:rPr>
        <w:t>.”</w:t>
      </w:r>
    </w:p>
    <w:p>
      <w:pPr>
        <w:pStyle w:val="Normal"/>
        <w:keepNext w:val="true"/>
        <w:tabs>
          <w:tab w:val="clear" w:pos="720"/>
          <w:tab w:val="left" w:pos="1080" w:leader="none"/>
        </w:tabs>
        <w:spacing w:lineRule="exact" w:line="480"/>
        <w:jc w:val="both"/>
        <w:rPr>
          <w:rFonts w:ascii="Times New Roman" w:hAnsi="Times New Roman" w:cs="Times New Roman"/>
          <w:b/>
          <w:sz w:val="22"/>
        </w:rPr>
      </w:pPr>
      <w:r>
        <w:rPr>
          <w:rFonts w:cs="Times New Roman" w:ascii="Times New Roman" w:hAnsi="Times New Roman"/>
          <w:b/>
          <w:sz w:val="22"/>
        </w:rPr>
        <w:t>Part 2.</w:t>
        <w:tab/>
        <w:t>Tax Representations.</w:t>
      </w:r>
    </w:p>
    <w:p>
      <w:pPr>
        <w:pStyle w:val="Normal"/>
        <w:keepNext w:val="true"/>
        <w:spacing w:lineRule="exact" w:line="240" w:before="240" w:after="0"/>
        <w:ind w:hanging="720" w:start="720" w:end="0"/>
        <w:jc w:val="both"/>
        <w:rPr/>
      </w:pPr>
      <w:r>
        <w:rPr>
          <w:rFonts w:cs="Times New Roman" w:ascii="Times New Roman" w:hAnsi="Times New Roman"/>
          <w:b/>
          <w:sz w:val="22"/>
        </w:rPr>
        <w:t>(a)</w:t>
        <w:tab/>
        <w:t xml:space="preserve">Payer Representations.  </w:t>
      </w:r>
      <w:r>
        <w:rPr>
          <w:rFonts w:cs="Times New Roman" w:ascii="Times New Roman" w:hAnsi="Times New Roman"/>
          <w:sz w:val="22"/>
        </w:rPr>
        <w:t>For the purpose of Section 3(e), Party A and Party B make the following representation:</w:t>
      </w:r>
    </w:p>
    <w:p>
      <w:pPr>
        <w:pStyle w:val="Normal"/>
        <w:spacing w:lineRule="exact" w:line="240" w:before="240" w:after="0"/>
        <w:ind w:start="720" w:end="0"/>
        <w:jc w:val="both"/>
        <w:rPr/>
      </w:pPr>
      <w:r>
        <w:rPr>
          <w:rFonts w:cs="Times New Roman"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Times New Roman" w:ascii="Times New Roman" w:hAnsi="Times New Roman"/>
          <w:i/>
          <w:sz w:val="22"/>
        </w:rPr>
        <w:t>provided</w:t>
      </w:r>
      <w:r>
        <w:rPr>
          <w:rFonts w:cs="Times New Roman"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rFonts w:cs="Times New Roman" w:ascii="Times New Roman" w:hAnsi="Times New Roman"/>
          <w:b/>
          <w:sz w:val="22"/>
        </w:rPr>
        <w:t>(b)</w:t>
        <w:tab/>
        <w:t>Payee Representations.</w:t>
      </w:r>
      <w:r>
        <w:rPr>
          <w:rFonts w:cs="Times New Roman" w:ascii="Times New Roman" w:hAnsi="Times New Roman"/>
          <w:sz w:val="22"/>
        </w:rPr>
        <w:t xml:space="preserve">  For the purpose of Section 3(f), Party A and Party B make the following representations:</w:t>
      </w:r>
    </w:p>
    <w:p>
      <w:pPr>
        <w:pStyle w:val="Norma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w:t>
        <w:tab/>
        <w:t>The following representation applies to Party A:</w:t>
      </w:r>
    </w:p>
    <w:p>
      <w:pPr>
        <w:pStyle w:val="Normal"/>
        <w:spacing w:lineRule="exact" w:line="240" w:before="240" w:after="0"/>
        <w:ind w:start="900" w:end="0"/>
        <w:jc w:val="both"/>
        <w:rPr>
          <w:rFonts w:ascii="Times New Roman" w:hAnsi="Times New Roman" w:cs="Times New Roman"/>
          <w:sz w:val="22"/>
        </w:rPr>
      </w:pPr>
      <w:r>
        <w:rPr>
          <w:rFonts w:cs="Times New Roman" w:ascii="Times New Roman" w:hAnsi="Times New Roman"/>
          <w:sz w:val="22"/>
        </w:rPr>
        <w:t>Party A is a corporation organized under the laws of the State of Delaware.</w:t>
      </w:r>
    </w:p>
    <w:p>
      <w:pPr>
        <w:pStyle w:val="Normal"/>
        <w:spacing w:lineRule="exact" w:line="240" w:before="240" w:after="0"/>
        <w:ind w:hanging="720" w:start="900" w:end="0"/>
        <w:jc w:val="both"/>
        <w:rPr>
          <w:rFonts w:ascii="Times New Roman" w:hAnsi="Times New Roman" w:cs="Times New Roman"/>
          <w:sz w:val="22"/>
        </w:rPr>
      </w:pPr>
      <w:r>
        <w:rPr>
          <w:rFonts w:cs="Times New Roman" w:ascii="Times New Roman" w:hAnsi="Times New Roman"/>
          <w:sz w:val="22"/>
        </w:rPr>
        <w:t>(ii)</w:t>
        <w:tab/>
        <w:t>The following representation applies to Party B:</w:t>
      </w:r>
    </w:p>
    <w:p>
      <w:pPr>
        <w:pStyle w:val="Normal"/>
        <w:spacing w:lineRule="exact" w:line="240" w:before="240" w:after="0"/>
        <w:ind w:start="900" w:end="0"/>
        <w:jc w:val="both"/>
        <w:rPr/>
      </w:pPr>
      <w:r>
        <w:rPr>
          <w:rFonts w:cs="Times New Roman" w:ascii="Times New Roman" w:hAnsi="Times New Roman"/>
          <w:sz w:val="22"/>
        </w:rPr>
        <w:t xml:space="preserve">Party B is a corporation organized under the laws of the State of </w:t>
      </w:r>
      <w:r>
        <w:rPr>
          <w:rFonts w:cs="Times New Roman" w:ascii="Times New Roman" w:hAnsi="Times New Roman"/>
          <w:sz w:val="22"/>
          <w:u w:val="single"/>
        </w:rPr>
        <w:t xml:space="preserve">                          </w:t>
      </w:r>
      <w:r>
        <w:rPr>
          <w:rFonts w:cs="Times New Roman" w:ascii="Times New Roman" w:hAnsi="Times New Roman"/>
          <w:sz w:val="22"/>
        </w:rPr>
        <w:t>.</w:t>
      </w:r>
    </w:p>
    <w:p>
      <w:pPr>
        <w:pStyle w:val="Normal"/>
        <w:numPr>
          <w:ilvl w:val="0"/>
          <w:numId w:val="0"/>
        </w:numPr>
        <w:spacing w:lineRule="exact" w:line="240" w:before="480" w:after="0"/>
        <w:jc w:val="both"/>
        <w:outlineLvl w:val="0"/>
        <w:rPr>
          <w:rFonts w:ascii="Times New Roman" w:hAnsi="Times New Roman" w:cs="Times New Roman"/>
          <w:sz w:val="22"/>
        </w:rPr>
      </w:pPr>
      <w:r>
        <w:rPr>
          <w:rFonts w:cs="Times New Roman" w:ascii="Times New Roman" w:hAnsi="Times New Roman"/>
          <w:b/>
          <w:sz w:val="22"/>
        </w:rPr>
        <w:t>Part 3.  Agreement to Deliver Documents.</w:t>
      </w:r>
    </w:p>
    <w:p>
      <w:pPr>
        <w:pStyle w:val="Normal"/>
        <w:spacing w:lineRule="exact" w:line="240" w:before="240" w:after="0"/>
        <w:ind w:firstLine="720" w:end="0"/>
        <w:jc w:val="both"/>
        <w:rPr>
          <w:rFonts w:ascii="Times New Roman" w:hAnsi="Times New Roman" w:cs="Times New Roman"/>
          <w:color w:val="000000"/>
          <w:sz w:val="22"/>
        </w:rPr>
      </w:pPr>
      <w:r>
        <w:rPr>
          <w:rFonts w:cs="Times New Roman" w:ascii="Times New Roman" w:hAnsi="Times New Roman"/>
          <w:sz w:val="22"/>
        </w:rPr>
        <w:t>For the purpose of Section 4(a), each party agrees to deliver the following documents, as applicable: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(a)</w:t>
        <w:tab/>
        <w:t>Tax forms, documents, or certificates to be delivered are:  None.</w:t>
      </w:r>
    </w:p>
    <w:p>
      <w:pPr>
        <w:pStyle w:val="BodyTextIndent2"/>
        <w:widowControl/>
        <w:tabs>
          <w:tab w:val="clear" w:pos="1350"/>
        </w:tabs>
        <w:spacing w:lineRule="exact" w:line="240" w:before="240" w:after="0"/>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Party required to deliver document</w:t>
            </w:r>
          </w:p>
        </w:tc>
        <w:tc>
          <w:tcPr>
            <w:tcW w:w="4104" w:type="dxa"/>
            <w:tcBorders/>
          </w:tcPr>
          <w:p>
            <w:pPr>
              <w:pStyle w:val="Normal"/>
              <w:keepNext w:val="true"/>
              <w:spacing w:lineRule="atLeast" w:line="240" w:before="240" w:after="0"/>
              <w:rPr>
                <w:rFonts w:ascii="Times New Roman" w:hAnsi="Times New Roman" w:cs="Times New Roman"/>
                <w:sz w:val="22"/>
                <w:u w:val="single"/>
              </w:rPr>
            </w:pPr>
            <w:r>
              <w:rPr>
                <w:rFonts w:cs="Times New Roman" w:ascii="Times New Roman" w:hAnsi="Times New Roman"/>
                <w:b/>
                <w:sz w:val="22"/>
              </w:rPr>
              <w:t>Form/Document/Certificate</w:t>
            </w:r>
          </w:p>
        </w:tc>
        <w:tc>
          <w:tcPr>
            <w:tcW w:w="2340"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Date by which to be delivered</w:t>
            </w:r>
          </w:p>
        </w:tc>
        <w:tc>
          <w:tcPr>
            <w:tcW w:w="1926" w:type="dxa"/>
            <w:tcBorders/>
          </w:tcPr>
          <w:p>
            <w:pPr>
              <w:pStyle w:val="Normal"/>
              <w:keepNext w:val="true"/>
              <w:spacing w:lineRule="atLeast" w:line="240" w:before="240" w:after="0"/>
              <w:rPr>
                <w:rFonts w:ascii="Times New Roman" w:hAnsi="Times New Roman" w:cs="Times New Roman"/>
                <w:sz w:val="22"/>
              </w:rPr>
            </w:pPr>
            <w:r>
              <w:rPr>
                <w:rFonts w:cs="Times New Roman" w:ascii="Times New Roman" w:hAnsi="Times New Roman"/>
                <w:b/>
                <w:sz w:val="22"/>
              </w:rPr>
              <w:t>Covered by Section 3(d) Representation</w:t>
              <w:br/>
            </w:r>
          </w:p>
        </w:tc>
      </w:tr>
      <w:tr>
        <w:trPr/>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Party A</w:t>
            </w:r>
          </w:p>
        </w:tc>
        <w:tc>
          <w:tcPr>
            <w:tcW w:w="4104" w:type="dxa"/>
            <w:tcBorders/>
          </w:tcPr>
          <w:p>
            <w:pPr>
              <w:pStyle w:val="Justified"/>
              <w:keepNext w:val="true"/>
              <w:spacing w:lineRule="atLeast" w:line="240" w:before="240" w:after="0"/>
              <w:rPr>
                <w:rFonts w:ascii="Times New Roman" w:hAnsi="Times New Roman" w:cs="Times New Roman"/>
                <w:b/>
              </w:rPr>
            </w:pPr>
            <w:r>
              <w:rPr>
                <w:rFonts w:cs="Times New Roman" w:ascii="Times New Roman" w:hAnsi="Times New Roman"/>
              </w:rPr>
              <w:t>Duly executed Credit Support Documents specified in Part 4(d)</w:t>
            </w:r>
          </w:p>
        </w:tc>
        <w:tc>
          <w:tcPr>
            <w:tcW w:w="2340"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keepNext w:val="true"/>
              <w:spacing w:lineRule="atLeast" w:line="240" w:before="240" w:after="0"/>
              <w:jc w:val="both"/>
              <w:rPr>
                <w:rFonts w:ascii="Times New Roman" w:hAnsi="Times New Roman" w:cs="Times New Roman"/>
                <w:sz w:val="22"/>
              </w:rPr>
            </w:pPr>
            <w:r>
              <w:rPr>
                <w:rFonts w:cs="Times New Roman" w:ascii="Times New Roman" w:hAnsi="Times New Roman"/>
                <w:sz w:val="22"/>
              </w:rPr>
              <w:t>Party A and Party B</w:t>
            </w:r>
          </w:p>
        </w:tc>
        <w:tc>
          <w:tcPr>
            <w:tcW w:w="4104" w:type="dxa"/>
            <w:tcBorders/>
          </w:tcPr>
          <w:p>
            <w:pPr>
              <w:pStyle w:val="Justified"/>
              <w:keepNext w:val="true"/>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At execution of this Master Agreement</w:t>
            </w:r>
          </w:p>
        </w:tc>
        <w:tc>
          <w:tcPr>
            <w:tcW w:w="1926" w:type="dxa"/>
            <w:tcBorders/>
          </w:tcPr>
          <w:p>
            <w:pPr>
              <w:pStyle w:val="Normal"/>
              <w:keepNext w:val="true"/>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Annual Audited Consolidated Financial Statement of Party A’s Credit Support Provider certified by independent public accountants</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A</w:t>
            </w:r>
          </w:p>
        </w:tc>
        <w:tc>
          <w:tcPr>
            <w:tcW w:w="4104"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Quarterly Unaudited Consolidated Financial Statement of Party A’s Credit Support Provider</w:t>
            </w:r>
          </w:p>
        </w:tc>
        <w:tc>
          <w:tcPr>
            <w:tcW w:w="2340" w:type="dxa"/>
            <w:tcBorders/>
          </w:tcPr>
          <w:p>
            <w:pPr>
              <w:pStyle w:val="Justified"/>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b/>
                <w:sz w:val="22"/>
              </w:rPr>
            </w:pPr>
            <w:r>
              <w:rPr>
                <w:rFonts w:cs="Times New Roman" w:ascii="Times New Roman" w:hAnsi="Times New Roman"/>
                <w:sz w:val="22"/>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Annual Audited Consolidated Financial Statement of Party B certified by independent public accountants</w:t>
            </w:r>
          </w:p>
        </w:tc>
        <w:tc>
          <w:tcPr>
            <w:tcW w:w="2340"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Party B</w:t>
            </w:r>
          </w:p>
        </w:tc>
        <w:tc>
          <w:tcPr>
            <w:tcW w:w="4104"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Quarterly Unaudited Consolidated Financial Statement of Party B</w:t>
            </w:r>
          </w:p>
        </w:tc>
        <w:tc>
          <w:tcPr>
            <w:tcW w:w="2340"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rFonts w:ascii="Times New Roman" w:hAnsi="Times New Roman" w:cs="Times New Roman"/>
                <w:sz w:val="22"/>
              </w:rPr>
            </w:pPr>
            <w:r>
              <w:rPr>
                <w:rFonts w:cs="Times New Roman" w:ascii="Times New Roman" w:hAnsi="Times New Roman"/>
                <w:sz w:val="22"/>
              </w:rPr>
              <w:t>Yes</w:t>
            </w:r>
          </w:p>
        </w:tc>
      </w:tr>
    </w:tbl>
    <w:p>
      <w:pPr>
        <w:pStyle w:val="Normal"/>
        <w:keepNext w:val="true"/>
        <w:spacing w:lineRule="exact" w:line="240" w:before="480" w:after="0"/>
        <w:jc w:val="both"/>
        <w:rPr>
          <w:rFonts w:ascii="Times New Roman" w:hAnsi="Times New Roman" w:cs="Times New Roman"/>
          <w:b/>
          <w:sz w:val="22"/>
        </w:rPr>
      </w:pPr>
      <w:r>
        <w:rPr>
          <w:rFonts w:cs="Times New Roman" w:ascii="Times New Roman" w:hAnsi="Times New Roman"/>
          <w:b/>
          <w:sz w:val="22"/>
        </w:rPr>
        <w:t>Part 4.  Miscellaneous.</w:t>
      </w:r>
    </w:p>
    <w:p>
      <w:pPr>
        <w:pStyle w:val="Normal"/>
        <w:keepNext w:val="true"/>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Addresses for Notices.</w:t>
      </w:r>
      <w:r>
        <w:rPr>
          <w:rFonts w:cs="Times New Roman" w:ascii="Times New Roman" w:hAnsi="Times New Roman"/>
          <w:sz w:val="22"/>
        </w:rPr>
        <w:t xml:space="preserve">  For the purpose of Section 12(a) of this Agreement:</w:t>
      </w:r>
    </w:p>
    <w:p>
      <w:pPr>
        <w:pStyle w:val="Normal"/>
        <w:keepNext w:val="true"/>
        <w:spacing w:lineRule="exact" w:line="240" w:before="240" w:after="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A:</w:t>
      </w:r>
    </w:p>
    <w:p>
      <w:pPr>
        <w:pStyle w:val="Normal"/>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p>
          <w:p>
            <w:pPr>
              <w:pStyle w:val="Normal"/>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140" w:type="dxa"/>
            <w:tcBorders/>
          </w:tcPr>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Enron Capital &amp; Trade Resources Corp.</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P.O. Box 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77210-4428</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1400 Smith Street</w:t>
            </w:r>
          </w:p>
          <w:p>
            <w:pPr>
              <w:pStyle w:val="Normal"/>
              <w:tabs>
                <w:tab w:val="clear" w:pos="720"/>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Houston, Texas  77002</w:t>
            </w:r>
          </w:p>
          <w:p>
            <w:pPr>
              <w:pStyle w:val="Justified"/>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u w:val="single"/>
              </w:rPr>
            </w:pPr>
            <w:r>
              <w:rPr>
                <w:rFonts w:cs="Times New Roman" w:ascii="Times New Roman" w:hAnsi="Times New Roman"/>
                <w:sz w:val="22"/>
              </w:rPr>
              <w:t>Facsimile No.:  (713) 646-4816</w:t>
            </w:r>
          </w:p>
          <w:p>
            <w:pPr>
              <w:pStyle w:val="Normal"/>
              <w:tabs>
                <w:tab w:val="clear" w:pos="720"/>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rPr>
        <w:t xml:space="preserve">A copy of any notice sent to Party A pursuant to Section 5 or 6 or </w:t>
      </w:r>
      <w:r>
        <w:rPr>
          <w:rFonts w:cs="Times New Roman" w:ascii="Times New Roman" w:hAnsi="Times New Roman"/>
          <w:sz w:val="22"/>
          <w:u w:val="single"/>
        </w:rPr>
        <w:t>Annex A</w:t>
      </w:r>
      <w:r>
        <w:rPr>
          <w:rFonts w:cs="Times New Roman" w:ascii="Times New Roman" w:hAnsi="Times New Roman"/>
          <w:sz w:val="22"/>
        </w:rPr>
        <w:t xml:space="preserve"> must also be sent to (i) Enron Capital &amp; Trade Resources Corp., Attention:  Corporate Secretary at the above address and facsimile no. (713) 853-2534, and (ii) Enron Capital &amp; Trade Resources Corp., Attention:  Assistant General Counsel, Trading Group at the above address and facsimile no. (713) 646-4818.</w:t>
      </w:r>
    </w:p>
    <w:p>
      <w:pPr>
        <w:pStyle w:val="Normal"/>
        <w:tabs>
          <w:tab w:val="clear" w:pos="720"/>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t>Address for notices or communications to Party B:</w:t>
      </w:r>
    </w:p>
    <w:p>
      <w:pPr>
        <w:pStyle w:val="Normal"/>
        <w:tabs>
          <w:tab w:val="left" w:pos="720" w:leader="none"/>
          <w:tab w:val="right" w:pos="9360" w:leader="dot"/>
        </w:tabs>
        <w:spacing w:lineRule="exact" w:line="240"/>
        <w:ind w:hanging="720" w:start="720" w:end="0"/>
        <w:jc w:val="both"/>
        <w:rPr>
          <w:rFonts w:ascii="Times New Roman" w:hAnsi="Times New Roman" w:cs="Times New Roman"/>
          <w:sz w:val="22"/>
        </w:rPr>
      </w:pPr>
      <w:r>
        <w:rPr>
          <w:rFonts w:cs="Times New Roman"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 xml:space="preserve">Address: </w:t>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rPr>
            </w:pPr>
            <w:r>
              <w:rPr>
                <w:rFonts w:cs="Times New Roman" w:ascii="Times New Roman" w:hAnsi="Times New Roman"/>
                <w:sz w:val="22"/>
              </w:rPr>
              <w:t>(for courier delivery)</w:t>
            </w:r>
            <w:r>
              <w:rPr>
                <w:rFonts w:cs="Times New Roman" w:ascii="Times New Roman" w:hAnsi="Times New Roman"/>
                <w:sz w:val="22"/>
                <w:u w:val="single"/>
              </w:rPr>
              <w:t xml:space="preserve"> </w:t>
            </w:r>
          </w:p>
          <w:p>
            <w:pPr>
              <w:pStyle w:val="Normal"/>
              <w:keepNext w:val="true"/>
              <w:tabs>
                <w:tab w:val="left" w:pos="720" w:leader="none"/>
                <w:tab w:val="right" w:pos="9360" w:leader="dot"/>
              </w:tabs>
              <w:spacing w:lineRule="exact" w:line="240"/>
              <w:jc w:val="both"/>
              <w:rPr>
                <w:rFonts w:ascii="Times New Roman" w:hAnsi="Times New Roman" w:cs="Times New Roman"/>
                <w:sz w:val="22"/>
              </w:rPr>
            </w:pPr>
            <w:r>
              <w:rPr>
                <w:rFonts w:cs="Times New Roman"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Con Edison Solutions, Inc.</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701 Westchester Avenue, Suite 320 East</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White Plains, NY  10604</w:t>
            </w:r>
          </w:p>
          <w:p>
            <w:pPr>
              <w:pStyle w:val="Normal"/>
              <w:keepNext w:val="true"/>
              <w:tabs>
                <w:tab w:val="clear" w:pos="720"/>
                <w:tab w:val="left" w:pos="3762" w:leader="none"/>
                <w:tab w:val="left" w:pos="4230" w:leader="none"/>
                <w:tab w:val="left" w:pos="9360" w:leader="none"/>
              </w:tabs>
              <w:spacing w:lineRule="exact" w:line="240"/>
              <w:jc w:val="both"/>
              <w:rPr>
                <w:rFonts w:ascii="Times New Roman" w:hAnsi="Times New Roman" w:cs="Times New Roman"/>
                <w:sz w:val="22"/>
              </w:rPr>
            </w:pPr>
            <w:r>
              <w:rPr>
                <w:rFonts w:cs="Times New Roman" w:ascii="Times New Roman" w:hAnsi="Times New Roman"/>
                <w:sz w:val="22"/>
              </w:rPr>
              <w:t>Attn.:  Joanne Chan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 xml:space="preserve">Facsimile No.:  </w:t>
            </w:r>
            <w:r>
              <w:rPr>
                <w:rFonts w:cs="Times New Roman" w:ascii="Times New Roman" w:hAnsi="Times New Roman"/>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rFonts w:ascii="Times New Roman" w:hAnsi="Times New Roman" w:cs="Times New Roman"/>
                <w:sz w:val="22"/>
              </w:rPr>
            </w:pPr>
            <w:r>
              <w:rPr>
                <w:rFonts w:cs="Times New Roman" w:ascii="Times New Roman" w:hAnsi="Times New Roman"/>
                <w:sz w:val="22"/>
              </w:rPr>
              <w:t>Telephone No.:  (914) 993-2117</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Offices; Multibranch Parties.</w:t>
      </w:r>
      <w:r>
        <w:rPr>
          <w:rFonts w:cs="Times New Roman" w:ascii="Times New Roman" w:hAnsi="Times New Roman"/>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Calculation Agent.</w:t>
      </w:r>
      <w:r>
        <w:rPr>
          <w:rFonts w:cs="Times New Roman" w:ascii="Times New Roman" w:hAnsi="Times New Roman"/>
          <w:sz w:val="22"/>
        </w:rPr>
        <w:t xml:space="preserve">  The Calculation Agent is Party A.</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Credit Support Documents.</w:t>
      </w:r>
      <w:r>
        <w:rPr>
          <w:rFonts w:cs="Times New Roman"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Times New Roman" w:ascii="Times New Roman" w:hAnsi="Times New Roman"/>
          <w:sz w:val="22"/>
          <w:u w:val="single"/>
        </w:rPr>
        <w:t>Exhibit A</w:t>
      </w:r>
      <w:r>
        <w:rPr>
          <w:rFonts w:cs="Times New Roman" w:ascii="Times New Roman" w:hAnsi="Times New Roman"/>
          <w:sz w:val="22"/>
        </w:rPr>
        <w:t xml:space="preserve">, and (ii) ISDA Credit Support Annex attached hereto as </w:t>
      </w:r>
      <w:r>
        <w:rPr>
          <w:rFonts w:cs="Times New Roman" w:ascii="Times New Roman" w:hAnsi="Times New Roman"/>
          <w:sz w:val="22"/>
          <w:u w:val="single"/>
        </w:rPr>
        <w:t>Annex A</w:t>
      </w:r>
      <w:r>
        <w:rPr>
          <w:rFonts w:cs="Times New Roman" w:ascii="Times New Roman" w:hAnsi="Times New Roman"/>
          <w:sz w:val="22"/>
        </w:rPr>
        <w:t>.</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Credit Support Provider.</w:t>
      </w:r>
      <w:r>
        <w:rPr>
          <w:rFonts w:cs="Times New Roman" w:ascii="Times New Roman" w:hAnsi="Times New Roman"/>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rFonts w:cs="Times New Roman" w:ascii="Times New Roman" w:hAnsi="Times New Roman"/>
          <w:sz w:val="22"/>
        </w:rPr>
        <w:t>(f)</w:t>
        <w:tab/>
      </w:r>
      <w:r>
        <w:rPr>
          <w:rFonts w:cs="Times New Roman" w:ascii="Times New Roman" w:hAnsi="Times New Roman"/>
          <w:b/>
          <w:sz w:val="22"/>
        </w:rPr>
        <w:t>Netting of Payments.</w:t>
      </w:r>
      <w:r>
        <w:rPr>
          <w:rFonts w:cs="Times New Roman" w:ascii="Times New Roman" w:hAnsi="Times New Roman"/>
          <w:sz w:val="22"/>
        </w:rPr>
        <w:t xml:space="preserve">  Subparagraph (ii) of Section 2(c) will not apply to all Transactions.</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rFonts w:cs="Times New Roman" w:ascii="Times New Roman" w:hAnsi="Times New Roman"/>
          <w:sz w:val="22"/>
        </w:rPr>
        <w:t>(h)</w:t>
        <w:tab/>
      </w:r>
      <w:r>
        <w:rPr>
          <w:rFonts w:cs="Times New Roman" w:ascii="Times New Roman" w:hAnsi="Times New Roman"/>
          <w:b/>
          <w:sz w:val="22"/>
        </w:rPr>
        <w:t>Jurisdiction.</w:t>
      </w:r>
      <w:r>
        <w:rPr>
          <w:rFonts w:cs="Times New Roman" w:ascii="Times New Roman" w:hAnsi="Times New Roman"/>
          <w:sz w:val="22"/>
        </w:rPr>
        <w:t xml:space="preserve">  Section 13(b) is hereby deleted in its entirety and replaced with the following:</w:t>
      </w:r>
    </w:p>
    <w:p>
      <w:pPr>
        <w:pStyle w:val="Normal"/>
        <w:ind w:start="720" w:end="0"/>
        <w:jc w:val="both"/>
        <w:rPr/>
      </w:pPr>
      <w:r>
        <w:rPr>
          <w:rFonts w:cs="Times New Roman" w:ascii="Times New Roman" w:hAnsi="Times New Roman"/>
          <w:sz w:val="22"/>
        </w:rPr>
        <w:tab/>
        <w:t>(b)</w:t>
        <w:tab/>
      </w:r>
      <w:r>
        <w:rPr>
          <w:rFonts w:cs="Times New Roman" w:ascii="Times New Roman" w:hAnsi="Times New Roman"/>
          <w:b/>
          <w:sz w:val="22"/>
        </w:rPr>
        <w:t>Agreement To Arbitrate:</w:t>
      </w:r>
      <w:r>
        <w:rPr>
          <w:rFonts w:cs="Times New Roman" w:ascii="Times New Roman" w:hAnsi="Times New Roman"/>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Conduct Of The Arbitration, And Authority Of The Arbitrators:</w:t>
      </w:r>
      <w:r>
        <w:rPr>
          <w:rFonts w:cs="Times New Roman" w:ascii="Times New Roman" w:hAnsi="Times New Roman"/>
          <w:sz w:val="22"/>
        </w:rPr>
        <w:t xml:space="preserve"> </w:t>
      </w:r>
      <w:r>
        <w:rPr>
          <w:rFonts w:cs="Times New Roman" w:ascii="Times New Roman" w:hAnsi="Times New Roman"/>
          <w:i/>
          <w:sz w:val="22"/>
        </w:rPr>
        <w:t xml:space="preserve"> </w:t>
      </w:r>
      <w:r>
        <w:rPr>
          <w:rFonts w:cs="Times New Roman" w:ascii="Times New Roman" w:hAnsi="Times New Roman"/>
          <w:sz w:val="22"/>
        </w:rPr>
        <w:t>Arbitration shall be conducted in accordance with the Federal Arbitration Act and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Forum For The Arbitration And Selection Of Arbitrators:</w:t>
      </w:r>
      <w:r>
        <w:rPr>
          <w:rFonts w:cs="Times New Roman" w:ascii="Times New Roman" w:hAnsi="Times New Roman"/>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Confidentiality:</w:t>
      </w:r>
      <w:r>
        <w:rPr>
          <w:rFonts w:cs="Times New Roman" w:ascii="Times New Roman" w:hAnsi="Times New Roman"/>
          <w:sz w:val="22"/>
        </w:rPr>
        <w:t xml:space="preserve">  To the fullest extent permitted by law, any arbitration proceeding and the arbitrators award shall be maintained in confidence by the parties.</w:t>
      </w:r>
    </w:p>
    <w:p>
      <w:pPr>
        <w:pStyle w:val="Normal"/>
        <w:numPr>
          <w:ilvl w:val="0"/>
          <w:numId w:val="0"/>
        </w:numPr>
        <w:spacing w:lineRule="exact" w:line="240" w:before="480" w:after="0"/>
        <w:jc w:val="both"/>
        <w:outlineLvl w:val="0"/>
        <w:rPr>
          <w:rFonts w:ascii="Times New Roman" w:hAnsi="Times New Roman" w:cs="Times New Roman"/>
          <w:b/>
          <w:sz w:val="22"/>
        </w:rPr>
      </w:pPr>
      <w:r>
        <w:rPr>
          <w:rFonts w:cs="Times New Roman" w:ascii="Times New Roman" w:hAnsi="Times New Roman"/>
          <w:b/>
          <w:sz w:val="22"/>
        </w:rPr>
        <w:t>Part 5.  Other Provisions.</w:t>
      </w:r>
    </w:p>
    <w:p>
      <w:pPr>
        <w:pStyle w:val="Normal"/>
        <w:spacing w:lineRule="exact" w:line="240" w:before="240" w:after="0"/>
        <w:ind w:firstLine="720" w:end="0"/>
        <w:jc w:val="both"/>
        <w:rPr/>
      </w:pPr>
      <w:r>
        <w:rPr>
          <w:rFonts w:cs="Times New Roman" w:ascii="Times New Roman" w:hAnsi="Times New Roman"/>
          <w:sz w:val="22"/>
        </w:rPr>
        <w:t>(a)</w:t>
        <w:tab/>
      </w:r>
      <w:r>
        <w:rPr>
          <w:rFonts w:cs="Times New Roman" w:ascii="Times New Roman" w:hAnsi="Times New Roman"/>
          <w:b/>
          <w:sz w:val="22"/>
        </w:rPr>
        <w:t>Conditions Precedent.</w:t>
      </w:r>
      <w:r>
        <w:rPr>
          <w:rFonts w:cs="Times New Roman" w:ascii="Times New Roman" w:hAnsi="Times New Roman"/>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Fonts w:cs="Times New Roman" w:ascii="Times New Roman" w:hAnsi="Times New Roman"/>
          <w:sz w:val="22"/>
        </w:rPr>
        <w:t>(b)</w:t>
        <w:tab/>
      </w:r>
      <w:r>
        <w:rPr>
          <w:rFonts w:cs="Times New Roman" w:ascii="Times New Roman" w:hAnsi="Times New Roman"/>
          <w:b/>
          <w:sz w:val="22"/>
        </w:rPr>
        <w:t>Representations.</w:t>
      </w:r>
      <w:r>
        <w:rPr>
          <w:rFonts w:cs="Times New Roman" w:ascii="Times New Roman" w:hAnsi="Times New Roman"/>
          <w:sz w:val="22"/>
        </w:rPr>
        <w:t xml:space="preserve">  Section 3 is hereby amended by adding at the end thereof the following Subparagraphs (g), (h), (i), and (j):</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rFonts w:cs="Times New Roman" w:ascii="Times New Roman" w:hAnsi="Times New Roman"/>
          <w:sz w:val="22"/>
        </w:rPr>
        <w:t>(h)</w:t>
        <w:tab/>
      </w:r>
      <w:r>
        <w:rPr>
          <w:rFonts w:cs="Times New Roman" w:ascii="Times New Roman" w:hAnsi="Times New Roman"/>
          <w:b/>
          <w:sz w:val="22"/>
        </w:rPr>
        <w:t>Eligible Swap Participant.</w:t>
      </w:r>
      <w:r>
        <w:rPr>
          <w:rFonts w:cs="Times New Roman" w:ascii="Times New Roman" w:hAnsi="Times New Roman"/>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rFonts w:cs="Times New Roman" w:ascii="Times New Roman" w:hAnsi="Times New Roman"/>
          <w:sz w:val="22"/>
        </w:rPr>
        <w:t>(i)</w:t>
      </w:r>
      <w:r>
        <w:rPr>
          <w:rFonts w:cs="Times New Roman" w:ascii="Times New Roman" w:hAnsi="Times New Roman"/>
          <w:b/>
          <w:sz w:val="22"/>
        </w:rPr>
        <w:tab/>
        <w:t>Standardization and Creditworthiness.</w:t>
      </w:r>
      <w:r>
        <w:rPr>
          <w:rFonts w:cs="Times New Roman" w:ascii="Times New Roman" w:hAnsi="Times New Roman"/>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rFonts w:cs="Times New Roman" w:ascii="Times New Roman" w:hAnsi="Times New Roman"/>
          <w:sz w:val="22"/>
        </w:rPr>
        <w:t>(j)</w:t>
        <w:tab/>
      </w:r>
      <w:r>
        <w:rPr>
          <w:rFonts w:cs="Times New Roman" w:ascii="Times New Roman" w:hAnsi="Times New Roman"/>
          <w:b/>
          <w:sz w:val="22"/>
        </w:rPr>
        <w:t>No Reliance.</w:t>
      </w:r>
      <w:r>
        <w:rPr>
          <w:rFonts w:cs="Times New Roman" w:ascii="Times New Roman" w:hAnsi="Times New Roman"/>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rFonts w:cs="Times New Roman" w:ascii="Times New Roman" w:hAnsi="Times New Roman"/>
          <w:sz w:val="22"/>
        </w:rPr>
        <w:t>(c)</w:t>
        <w:tab/>
      </w:r>
      <w:r>
        <w:rPr>
          <w:rFonts w:cs="Times New Roman" w:ascii="Times New Roman" w:hAnsi="Times New Roman"/>
          <w:b/>
          <w:sz w:val="22"/>
        </w:rPr>
        <w:t>Reference Market-makers.</w:t>
      </w:r>
      <w:r>
        <w:rPr>
          <w:rFonts w:cs="Times New Roman" w:ascii="Times New Roman" w:hAnsi="Times New Roman"/>
          <w:sz w:val="22"/>
        </w:rPr>
        <w:t xml:space="preserve">  The definition of </w:t>
      </w:r>
      <w:r>
        <w:rPr>
          <w:rFonts w:cs="Times New Roman" w:ascii="Times New Roman" w:hAnsi="Times New Roman"/>
          <w:b/>
          <w:sz w:val="22"/>
        </w:rPr>
        <w:t>“Reference Market-makers”</w:t>
      </w:r>
      <w:r>
        <w:rPr>
          <w:rFonts w:cs="Times New Roman" w:ascii="Times New Roman" w:hAnsi="Times New Roman"/>
          <w:sz w:val="22"/>
        </w:rPr>
        <w:t xml:space="preserve"> in Section 14 is hereby amended by deleting clause (b) thereof.</w:t>
      </w:r>
    </w:p>
    <w:p>
      <w:pPr>
        <w:pStyle w:val="Normal"/>
        <w:spacing w:lineRule="exact" w:line="240" w:before="240" w:after="0"/>
        <w:ind w:firstLine="720" w:end="0"/>
        <w:jc w:val="both"/>
        <w:rPr/>
      </w:pPr>
      <w:r>
        <w:rPr>
          <w:rFonts w:cs="Times New Roman" w:ascii="Times New Roman" w:hAnsi="Times New Roman"/>
          <w:sz w:val="22"/>
        </w:rPr>
        <w:t>(d)</w:t>
        <w:tab/>
      </w:r>
      <w:r>
        <w:rPr>
          <w:rFonts w:cs="Times New Roman" w:ascii="Times New Roman" w:hAnsi="Times New Roman"/>
          <w:b/>
          <w:sz w:val="22"/>
        </w:rPr>
        <w:t>Definitions.</w:t>
      </w:r>
      <w:r>
        <w:rPr>
          <w:rFonts w:cs="Times New Roman" w:ascii="Times New Roman" w:hAnsi="Times New Roman"/>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rFonts w:cs="Times New Roman" w:ascii="Times New Roman" w:hAnsi="Times New Roman"/>
          <w:sz w:val="22"/>
        </w:rPr>
        <w:t>(e)</w:t>
        <w:tab/>
      </w:r>
      <w:r>
        <w:rPr>
          <w:rFonts w:cs="Times New Roman" w:ascii="Times New Roman" w:hAnsi="Times New Roman"/>
          <w:b/>
          <w:sz w:val="22"/>
        </w:rPr>
        <w:t>Procedures for Entering into Transactions.</w:t>
      </w:r>
      <w:r>
        <w:rPr>
          <w:rFonts w:cs="Times New Roman"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rFonts w:cs="Times New Roman" w:ascii="Times New Roman" w:hAnsi="Times New Roman"/>
          <w:sz w:val="22"/>
        </w:rPr>
        <w:t>(f)</w:t>
      </w:r>
      <w:r>
        <w:rPr>
          <w:rFonts w:cs="Times New Roman" w:ascii="Times New Roman" w:hAnsi="Times New Roman"/>
          <w:b/>
          <w:sz w:val="22"/>
        </w:rPr>
        <w:tab/>
        <w:t>Recording.</w:t>
      </w:r>
      <w:r>
        <w:rPr>
          <w:rFonts w:cs="Times New Roman" w:ascii="Times New Roman" w:hAnsi="Times New Roman"/>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rFonts w:cs="Times New Roman" w:ascii="Times New Roman" w:hAnsi="Times New Roman"/>
          <w:sz w:val="22"/>
        </w:rPr>
        <w:t>(g)</w:t>
        <w:tab/>
      </w:r>
      <w:r>
        <w:rPr>
          <w:rFonts w:cs="Times New Roman" w:ascii="Times New Roman" w:hAnsi="Times New Roman"/>
          <w:b/>
          <w:sz w:val="22"/>
        </w:rPr>
        <w:t>Setoff.</w:t>
      </w:r>
      <w:r>
        <w:rPr>
          <w:rFonts w:cs="Times New Roman" w:ascii="Times New Roman" w:hAnsi="Times New Roman"/>
          <w:sz w:val="22"/>
        </w:rPr>
        <w:t xml:space="preserve">  (A) Without affecting or prejudicing the provisions of this Agreement requiring the calculation and payment of certain net payment amounts on Scheduled Payment Dates, all payments will be made without setoff or counterclaim;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i/>
          <w:sz w:val="22"/>
        </w:rPr>
        <w:t>,</w:t>
      </w:r>
      <w:r>
        <w:rPr>
          <w:rFonts w:cs="Times New Roman" w:ascii="Times New Roman" w:hAnsi="Times New Roman"/>
          <w:sz w:val="22"/>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rPr>
      </w:pPr>
      <w:r>
        <w:rPr>
          <w:rFonts w:cs="Times New Roman"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rFonts w:ascii="Times New Roman" w:hAnsi="Times New Roman" w:cs="Times New Roman"/>
          <w:b/>
          <w:sz w:val="22"/>
        </w:rPr>
      </w:pPr>
      <w:r>
        <w:rPr>
          <w:rFonts w:cs="Times New Roman" w:ascii="Times New Roman" w:hAnsi="Times New Roman"/>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before="240" w:after="0"/>
        <w:ind w:firstLine="720" w:end="0"/>
        <w:jc w:val="both"/>
        <w:rPr/>
      </w:pPr>
      <w:r>
        <w:rPr>
          <w:rFonts w:cs="Times New Roman" w:ascii="Times New Roman" w:hAnsi="Times New Roman"/>
          <w:sz w:val="22"/>
        </w:rPr>
        <w:t>(i)</w:t>
        <w:tab/>
      </w:r>
      <w:r>
        <w:rPr>
          <w:rFonts w:cs="Times New Roman" w:ascii="Times New Roman" w:hAnsi="Times New Roman"/>
          <w:b/>
          <w:sz w:val="22"/>
        </w:rPr>
        <w:t>Confidentiality.</w:t>
      </w:r>
      <w:r>
        <w:rPr>
          <w:rFonts w:cs="Times New Roman" w:ascii="Times New Roman" w:hAnsi="Times New Roman"/>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auditors, attorneys, or advisors which are required to keep the information that is disclosed in confidence.</w:t>
      </w:r>
    </w:p>
    <w:p>
      <w:pPr>
        <w:pStyle w:val="Normal"/>
        <w:spacing w:lineRule="exact" w:line="240"/>
        <w:ind w:firstLine="63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630" w:end="0"/>
        <w:jc w:val="both"/>
        <w:rPr/>
      </w:pPr>
      <w:r>
        <w:rPr>
          <w:rFonts w:cs="Times New Roman" w:ascii="Times New Roman" w:hAnsi="Times New Roman"/>
          <w:sz w:val="22"/>
        </w:rPr>
        <w:t>(j)</w:t>
        <w:tab/>
      </w:r>
      <w:r>
        <w:rPr>
          <w:rFonts w:cs="Times New Roman" w:ascii="Times New Roman" w:hAnsi="Times New Roman"/>
          <w:b/>
          <w:sz w:val="22"/>
        </w:rPr>
        <w:t>Transfer.</w:t>
      </w:r>
      <w:r>
        <w:rPr>
          <w:rFonts w:cs="Times New Roman" w:ascii="Times New Roman" w:hAnsi="Times New Roman"/>
          <w:sz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purposes of this Section, the non-transferring party’s withholding of consent to a proposed transfer will not be deemed to be unreasonable if, without limitation:  an Event of Default, Potential Event of Default or Termination Event with respect to the transferring party or the proposed transferee will exist following such transfer;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the proposed transfer would adversely affect the nontransferring party’s netting rights hereunder or under applicable law.”</w:t>
      </w:r>
    </w:p>
    <w:p>
      <w:pPr>
        <w:pStyle w:val="Normal"/>
        <w:spacing w:lineRule="exact" w:line="240" w:before="240" w:after="0"/>
        <w:ind w:firstLine="720" w:end="0"/>
        <w:jc w:val="both"/>
        <w:rPr/>
      </w:pPr>
      <w:r>
        <w:rPr>
          <w:rFonts w:cs="Times New Roman" w:ascii="Times New Roman" w:hAnsi="Times New Roman"/>
          <w:sz w:val="22"/>
        </w:rPr>
        <w:t>(k)</w:t>
        <w:tab/>
      </w:r>
      <w:r>
        <w:rPr>
          <w:rFonts w:cs="Times New Roman" w:ascii="Times New Roman" w:hAnsi="Times New Roman"/>
          <w:b/>
          <w:sz w:val="22"/>
        </w:rPr>
        <w:t>Applicable Rate.</w:t>
      </w:r>
      <w:r>
        <w:rPr>
          <w:rFonts w:cs="Times New Roman" w:ascii="Times New Roman" w:hAnsi="Times New Roman"/>
          <w:sz w:val="22"/>
        </w:rPr>
        <w:t xml:space="preserve">  The definition of </w:t>
      </w:r>
      <w:r>
        <w:rPr>
          <w:rFonts w:cs="Times New Roman" w:ascii="Times New Roman" w:hAnsi="Times New Roman"/>
          <w:b/>
          <w:sz w:val="22"/>
        </w:rPr>
        <w:t>“Applicable Rate”</w:t>
      </w:r>
      <w:r>
        <w:rPr>
          <w:rFonts w:cs="Times New Roman" w:ascii="Times New Roman" w:hAnsi="Times New Roman"/>
          <w:sz w:val="22"/>
        </w:rPr>
        <w:t xml:space="preserve"> set forth in Section 14 is hereby amended by adding to the end of Section (b) of the definition after the word “Rate” the following provision:  “;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that if the payee is a Defaulting Party for purposes of Section 6(e), then the rate shall be the Non-default Rate.”</w:t>
      </w:r>
    </w:p>
    <w:p>
      <w:pPr>
        <w:pStyle w:val="Normal"/>
        <w:spacing w:lineRule="exac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exact" w:line="240"/>
        <w:ind w:firstLine="720" w:end="0"/>
        <w:jc w:val="both"/>
        <w:rPr/>
      </w:pPr>
      <w:r>
        <w:rPr>
          <w:rFonts w:cs="Times New Roman" w:ascii="Times New Roman" w:hAnsi="Times New Roman"/>
          <w:sz w:val="22"/>
        </w:rPr>
        <w:t>(l)</w:t>
        <w:tab/>
      </w:r>
      <w:r>
        <w:rPr>
          <w:rFonts w:cs="Times New Roman" w:ascii="Times New Roman" w:hAnsi="Times New Roman"/>
          <w:b/>
          <w:sz w:val="22"/>
        </w:rPr>
        <w:t>Limitation of Rate.</w:t>
      </w:r>
      <w:r>
        <w:rPr>
          <w:rFonts w:cs="Times New Roman" w:ascii="Times New Roman" w:hAnsi="Times New Roman"/>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numPr>
          <w:ilvl w:val="0"/>
          <w:numId w:val="0"/>
        </w:numPr>
        <w:spacing w:before="480" w:after="0"/>
        <w:jc w:val="both"/>
        <w:outlineLvl w:val="0"/>
        <w:rPr>
          <w:rFonts w:ascii="Times New Roman" w:hAnsi="Times New Roman" w:cs="Times New Roman"/>
          <w:b/>
          <w:sz w:val="22"/>
        </w:rPr>
      </w:pPr>
      <w:r>
        <w:rPr>
          <w:rFonts w:cs="Times New Roman" w:ascii="Times New Roman" w:hAnsi="Times New Roman"/>
          <w:b/>
          <w:sz w:val="22"/>
        </w:rPr>
        <w:t>Part 6.  Additional Provisions For Commodity Derivatives Transactions.</w:t>
      </w:r>
    </w:p>
    <w:p>
      <w:pPr>
        <w:pStyle w:val="Justified"/>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(d)</w:t>
        <w:tab/>
        <w:t>Section 7.5(e) of the Commodity Definitions is hereby deleted.</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w:t>
        <w:tab/>
        <w:t>“Postponement”, with three (3) Commodity Business Days as the Maximum Days of Disruption;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w:t>
        <w:tab/>
        <w:t>“Fallback Reference Price” (if the relevant parties have specified an alternate Commodity Reference Price in the Confirmation);</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firstLine="720" w:start="1440" w:end="720"/>
        <w:jc w:val="both"/>
        <w:rPr>
          <w:rFonts w:ascii="Times New Roman" w:hAnsi="Times New Roman" w:cs="Times New Roman"/>
          <w:sz w:val="22"/>
        </w:rPr>
      </w:pPr>
      <w:r>
        <w:rPr>
          <w:rFonts w:cs="Times New Roman" w:ascii="Times New Roman" w:hAnsi="Times New Roman"/>
          <w:sz w:val="22"/>
        </w:rPr>
        <w:t>(iii)</w:t>
        <w:tab/>
        <w:t>“Negotiated Fallback” (provided that the reference in Section 7.5(c)(ii) to “fifth Business Day” shall be amended to be “twelfth Business Day”); and</w:t>
      </w:r>
    </w:p>
    <w:p>
      <w:pPr>
        <w:pStyle w:val="Normal"/>
        <w:ind w:firstLine="720" w:start="1440" w:end="72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Header"/>
        <w:jc w:val="both"/>
        <w:rPr>
          <w:rFonts w:ascii="Times New Roman" w:hAnsi="Times New Roman" w:cs="Times New Roman"/>
          <w:sz w:val="22"/>
        </w:rPr>
      </w:pPr>
      <w:r>
        <w:rPr>
          <w:rFonts w:cs="Times New Roman" w:ascii="Times New Roman" w:hAnsi="Times New Roman"/>
          <w:sz w:val="22"/>
        </w:rPr>
      </w:r>
    </w:p>
    <w:p>
      <w:pPr>
        <w:pStyle w:val="Header"/>
        <w:rPr>
          <w:sz w:val="22"/>
        </w:rPr>
      </w:pPr>
      <w:r>
        <w:rPr>
          <w:sz w:val="22"/>
        </w:rPr>
      </w:r>
    </w:p>
    <w:p>
      <w:pPr>
        <w:pStyle w:val="Header"/>
        <w:rPr>
          <w:sz w:val="22"/>
        </w:rPr>
      </w:pPr>
      <w:r>
        <w:rPr>
          <w:sz w:val="22"/>
        </w:rPr>
      </w:r>
    </w:p>
    <w:p>
      <w:pPr>
        <w:pStyle w:val="Justified"/>
        <w:numPr>
          <w:ilvl w:val="0"/>
          <w:numId w:val="0"/>
        </w:numPr>
        <w:spacing w:before="0" w:after="0"/>
        <w:outlineLvl w:val="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New Roman" w:hAnsi="Times New Roman" w:cs="Times New Roman"/>
                <w:b/>
                <w:sz w:val="22"/>
              </w:rPr>
            </w:pPr>
            <w:r>
              <w:rPr>
                <w:rFonts w:cs="Times New Roman" w:ascii="Times New Roman" w:hAnsi="Times New Roman"/>
                <w:b/>
                <w:sz w:val="22"/>
              </w:rPr>
              <w:t>ENRON CAPITAL &amp; TRADE RESOURCES</w:t>
            </w:r>
          </w:p>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CORP.</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tabs>
                <w:tab w:val="clear" w:pos="720"/>
                <w:tab w:val="left" w:pos="4320" w:leader="none"/>
              </w:tabs>
              <w:spacing w:lineRule="exact" w:line="24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c>
          <w:tcPr>
            <w:tcW w:w="4788" w:type="dxa"/>
            <w:tcBorders/>
          </w:tcPr>
          <w:p>
            <w:pPr>
              <w:pStyle w:val="Normal"/>
              <w:keepNext w:val="true"/>
              <w:spacing w:lineRule="exact" w:line="240"/>
              <w:jc w:val="both"/>
              <w:rPr>
                <w:rFonts w:ascii="Times New Roman" w:hAnsi="Times New Roman" w:cs="Times New Roman"/>
                <w:sz w:val="22"/>
              </w:rPr>
            </w:pPr>
            <w:r>
              <w:rPr>
                <w:rFonts w:cs="Times New Roman" w:ascii="Times New Roman" w:hAnsi="Times New Roman"/>
                <w:b/>
                <w:sz w:val="22"/>
              </w:rPr>
              <w:t>CON EDISON SOLUTIONS, INC.</w:t>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r>
          </w:p>
          <w:p>
            <w:pPr>
              <w:pStyle w:val="Normal"/>
              <w:keepNext w:val="true"/>
              <w:spacing w:lineRule="exact" w:line="240"/>
              <w:jc w:val="both"/>
              <w:rPr/>
            </w:pPr>
            <w:r>
              <w:rPr>
                <w:rFonts w:cs="Times New Roman" w:ascii="Times New Roman" w:hAnsi="Times New Roman"/>
                <w:sz w:val="22"/>
              </w:rPr>
              <w:t>By:</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tab/>
              <w:tab/>
              <w:tab/>
              <w:tab/>
            </w:r>
          </w:p>
          <w:p>
            <w:pPr>
              <w:pStyle w:val="Normal"/>
              <w:keepNext w:val="true"/>
              <w:spacing w:lineRule="exact" w:line="240"/>
              <w:jc w:val="both"/>
              <w:rPr/>
            </w:pPr>
            <w:r>
              <w:rPr>
                <w:rFonts w:cs="Times New Roman" w:ascii="Times New Roman" w:hAnsi="Times New Roman"/>
                <w:sz w:val="22"/>
              </w:rPr>
              <w:t>Title:</w:t>
              <w:tab/>
            </w:r>
            <w:r>
              <w:rPr>
                <w:rFonts w:cs="Times New Roman" w:ascii="Times New Roman" w:hAnsi="Times New Roman"/>
                <w:sz w:val="22"/>
                <w:u w:val="single"/>
              </w:rPr>
              <w:tab/>
              <w:tab/>
              <w:tab/>
              <w:tab/>
              <w:tab/>
            </w:r>
          </w:p>
          <w:p>
            <w:pPr>
              <w:pStyle w:val="Normal"/>
              <w:keepNext w:val="true"/>
              <w:spacing w:lineRule="exact" w:line="240"/>
              <w:jc w:val="both"/>
              <w:rPr>
                <w:rFonts w:ascii="Times New Roman" w:hAnsi="Times New Roman" w:cs="Times New Roman"/>
                <w:sz w:val="22"/>
              </w:rPr>
            </w:pPr>
            <w:r>
              <w:rPr>
                <w:rFonts w:cs="Times New Roman" w:ascii="Times New Roman" w:hAnsi="Times New Roman"/>
                <w:sz w:val="22"/>
              </w:rPr>
              <w:t xml:space="preserve">Date:     </w:t>
            </w:r>
            <w:r>
              <w:rPr>
                <w:rFonts w:cs="Times New Roman" w:ascii="Times New Roman" w:hAnsi="Times New Roman"/>
                <w:sz w:val="22"/>
                <w:u w:val="single"/>
              </w:rPr>
              <w:tab/>
              <w:tab/>
              <w:tab/>
              <w:tab/>
              <w:tab/>
            </w:r>
          </w:p>
        </w:tc>
      </w:tr>
    </w:tbl>
    <w:p>
      <w:pPr>
        <w:pStyle w:val="Normal"/>
        <w:tabs>
          <w:tab w:val="clear" w:pos="720"/>
          <w:tab w:val="left" w:pos="2880" w:leader="none"/>
        </w:tabs>
        <w:spacing w:lineRule="exact" w:line="240"/>
        <w:ind w:hanging="2880" w:start="288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rFonts w:ascii="Times New Roman" w:hAnsi="Times New Roman" w:cs="Times New Roman"/>
          <w:sz w:val="22"/>
        </w:rPr>
      </w:pPr>
      <w:r>
        <w:rPr>
          <w:rFonts w:cs="Times New Roman" w:ascii="Times New Roman" w:hAnsi="Times New Roman"/>
          <w:sz w:val="22"/>
        </w:rPr>
        <w:t>EXHIBIT A</w:t>
        <w:tab/>
        <w:t>FORM OF GUARANTY (PARTY A)</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numPr>
          <w:ilvl w:val="0"/>
          <w:numId w:val="0"/>
        </w:numPr>
        <w:jc w:val="center"/>
        <w:outlineLvl w:val="0"/>
        <w:rPr>
          <w:rFonts w:ascii="Times New Roman" w:hAnsi="Times New Roman" w:cs="Times New Roman"/>
          <w:b/>
          <w:sz w:val="22"/>
        </w:rPr>
      </w:pPr>
      <w:r>
        <w:rPr>
          <w:rFonts w:cs="Times New Roman" w:ascii="Times New Roman" w:hAnsi="Times New Roman"/>
          <w:b/>
          <w:sz w:val="22"/>
          <w:u w:val="single"/>
        </w:rPr>
        <w:t>ANNEX A</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numPr>
          <w:ilvl w:val="0"/>
          <w:numId w:val="0"/>
        </w:numPr>
        <w:jc w:val="center"/>
        <w:outlineLvl w:val="0"/>
        <w:rPr>
          <w:rFonts w:ascii="Times New Roman" w:hAnsi="Times New Roman" w:cs="Times New Roman"/>
          <w:b/>
          <w:sz w:val="22"/>
        </w:rPr>
      </w:pPr>
      <w:r>
        <w:rPr>
          <w:rFonts w:cs="Times New Roman" w:ascii="Times New Roman" w:hAnsi="Times New Roman"/>
          <w:b/>
          <w:sz w:val="22"/>
        </w:rPr>
        <w:t>PARAGRAPH 13</w:t>
      </w:r>
    </w:p>
    <w:p>
      <w:pPr>
        <w:pStyle w:val="Normal"/>
        <w:jc w:val="center"/>
        <w:rPr>
          <w:rFonts w:ascii="Times New Roman" w:hAnsi="Times New Roman" w:cs="Times New Roman"/>
          <w:b/>
          <w:sz w:val="22"/>
        </w:rPr>
      </w:pPr>
      <w:r>
        <w:rPr>
          <w:rFonts w:cs="Times New Roman" w:ascii="Times New Roman" w:hAnsi="Times New Roman"/>
          <w:b/>
          <w:sz w:val="22"/>
        </w:rPr>
        <w:t>to the</w:t>
      </w:r>
    </w:p>
    <w:p>
      <w:pPr>
        <w:pStyle w:val="Normal"/>
        <w:jc w:val="center"/>
        <w:rPr>
          <w:rFonts w:ascii="Times New Roman" w:hAnsi="Times New Roman" w:cs="Times New Roman"/>
          <w:b/>
          <w:sz w:val="22"/>
        </w:rPr>
      </w:pPr>
      <w:r>
        <w:rPr>
          <w:rFonts w:cs="Times New Roman" w:ascii="Times New Roman" w:hAnsi="Times New Roman"/>
          <w:b/>
          <w:sz w:val="22"/>
        </w:rPr>
        <w:t>CREDIT SUPPORT ANNEX</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dated as of _________________, 199__</w:t>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CON EDISON SOLUTIONS, INC., a _____________ organized under the law of the ____________ of ________ ("Party B")</w:t>
            </w:r>
          </w:p>
        </w:tc>
      </w:tr>
    </w:tbl>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0"/>
        </w:numPr>
        <w:jc w:val="both"/>
        <w:outlineLvl w:val="0"/>
        <w:rPr>
          <w:rFonts w:ascii="Times New Roman" w:hAnsi="Times New Roman" w:cs="Times New Roman"/>
          <w:sz w:val="22"/>
        </w:rPr>
      </w:pPr>
      <w:r>
        <w:rPr>
          <w:rFonts w:cs="Times New Roman" w:ascii="Times New Roman" w:hAnsi="Times New Roman"/>
          <w:b/>
          <w:sz w:val="22"/>
        </w:rPr>
        <w:t>Paragraph 13.  Elections and Variables.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(a)</w:t>
        <w:tab/>
      </w:r>
      <w:r>
        <w:rPr>
          <w:rFonts w:cs="Times New Roman" w:ascii="Times New Roman" w:hAnsi="Times New Roman"/>
          <w:b/>
          <w:sz w:val="22"/>
        </w:rPr>
        <w:t>Security Interest for “Obligations”.</w:t>
      </w:r>
      <w:r>
        <w:rPr>
          <w:rFonts w:cs="Times New Roman" w:ascii="Times New Roman" w:hAnsi="Times New Roman"/>
          <w:sz w:val="22"/>
        </w:rPr>
        <w:t xml:space="preserve">  The term “</w:t>
      </w:r>
      <w:r>
        <w:rPr>
          <w:rFonts w:cs="Times New Roman" w:ascii="Times New Roman" w:hAnsi="Times New Roman"/>
          <w:b/>
          <w:sz w:val="22"/>
        </w:rPr>
        <w:t>Obligations”</w:t>
      </w:r>
      <w:r>
        <w:rPr>
          <w:rFonts w:cs="Times New Roman" w:ascii="Times New Roman" w:hAnsi="Times New Roman"/>
          <w:sz w:val="22"/>
        </w:rPr>
        <w:t xml:space="preserve"> as used in this Annex includes the following additional obligations:</w:t>
      </w:r>
    </w:p>
    <w:p>
      <w:pPr>
        <w:pStyle w:val="Normal"/>
        <w:ind w:hanging="360" w:start="36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630" w:end="0"/>
        <w:jc w:val="both"/>
        <w:outlineLvl w:val="0"/>
        <w:rPr>
          <w:rFonts w:ascii="Times New Roman" w:hAnsi="Times New Roman" w:cs="Times New Roman"/>
          <w:sz w:val="22"/>
        </w:rPr>
      </w:pPr>
      <w:r>
        <w:rPr>
          <w:rFonts w:cs="Times New Roman" w:ascii="Times New Roman" w:hAnsi="Times New Roman"/>
          <w:sz w:val="22"/>
        </w:rPr>
        <w:t>With respect to Party A:  None.</w:t>
      </w:r>
    </w:p>
    <w:p>
      <w:pPr>
        <w:pStyle w:val="Normal"/>
        <w:ind w:start="63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630" w:end="0"/>
        <w:jc w:val="both"/>
        <w:outlineLvl w:val="0"/>
        <w:rPr>
          <w:rFonts w:ascii="Times New Roman" w:hAnsi="Times New Roman" w:cs="Times New Roman"/>
          <w:sz w:val="22"/>
        </w:rPr>
      </w:pPr>
      <w:r>
        <w:rPr>
          <w:rFonts w:cs="Times New Roman" w:ascii="Times New Roman" w:hAnsi="Times New Roman"/>
          <w:sz w:val="22"/>
        </w:rPr>
        <w:t>With respect to Party B:  None.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360" w:start="360"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numPr>
          <w:ilvl w:val="0"/>
          <w:numId w:val="0"/>
        </w:numPr>
        <w:ind w:start="720" w:end="0"/>
        <w:jc w:val="both"/>
        <w:outlineLvl w:val="0"/>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ind w:hanging="1260" w:start="14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3(a).</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3(b).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3.</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sz w:val="22"/>
        </w:rPr>
        <w:t xml:space="preserve">(ii)  </w:t>
      </w:r>
      <w:r>
        <w:rPr>
          <w:rFonts w:cs="Times New Roman" w:ascii="Times New Roman" w:hAnsi="Times New Roman"/>
          <w:b/>
          <w:sz w:val="22"/>
        </w:rPr>
        <w:t>Eligible Collateral.</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Collateral”</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(A)</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Cash</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100%</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(B)</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Negotiable debt obligations issued by the U.S. Treasury Department having an original maturity at issuance of not more than one year (“Government Obligations”)</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  ]</w:t>
            </w:r>
          </w:p>
        </w:tc>
        <w:tc>
          <w:tcPr>
            <w:tcW w:w="1365" w:type="dxa"/>
            <w:tcBorders/>
          </w:tcPr>
          <w:p>
            <w:pPr>
              <w:pStyle w:val="Normal"/>
              <w:jc w:val="center"/>
              <w:rPr>
                <w:rFonts w:ascii="Times New Roman" w:hAnsi="Times New Roman" w:cs="Times New Roman"/>
                <w:sz w:val="22"/>
              </w:rPr>
            </w:pPr>
            <w:r>
              <w:rPr>
                <w:rFonts w:cs="Times New Roman" w:ascii="Times New Roman" w:hAnsi="Times New Roman"/>
                <w:sz w:val="22"/>
              </w:rPr>
              <w:t>98%</w:t>
            </w:r>
          </w:p>
        </w:tc>
      </w:tr>
      <w:tr>
        <w:trPr/>
        <w:tc>
          <w:tcPr>
            <w:tcW w:w="630" w:type="dxa"/>
            <w:tcBorders/>
          </w:tcPr>
          <w:p>
            <w:pPr>
              <w:pStyle w:val="Normal"/>
              <w:jc w:val="both"/>
              <w:rPr>
                <w:rFonts w:ascii="Times New Roman" w:hAnsi="Times New Roman" w:cs="Times New Roman"/>
                <w:sz w:val="22"/>
              </w:rPr>
            </w:pPr>
            <w:r>
              <w:rPr>
                <w:rFonts w:cs="Times New Roman" w:ascii="Times New Roman" w:hAnsi="Times New Roman"/>
                <w:sz w:val="22"/>
              </w:rPr>
              <w:t>(C)</w:t>
            </w:r>
          </w:p>
        </w:tc>
        <w:tc>
          <w:tcPr>
            <w:tcW w:w="2880" w:type="dxa"/>
            <w:tcBorders/>
          </w:tcPr>
          <w:p>
            <w:pPr>
              <w:pStyle w:val="Normal"/>
              <w:rPr>
                <w:rFonts w:ascii="Times New Roman" w:hAnsi="Times New Roman" w:cs="Times New Roman"/>
                <w:sz w:val="22"/>
              </w:rPr>
            </w:pPr>
            <w:r>
              <w:rPr>
                <w:rFonts w:cs="Times New Roman" w:ascii="Times New Roman" w:hAnsi="Times New Roman"/>
                <w:sz w:val="22"/>
              </w:rPr>
              <w:t>Other:</w:t>
              <w:tab/>
              <w:t>None</w:t>
            </w:r>
          </w:p>
          <w:p>
            <w:pPr>
              <w:pStyle w:val="Norma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sz w:val="22"/>
        </w:rPr>
        <w:t xml:space="preserve">(iii)  </w:t>
      </w:r>
      <w:r>
        <w:rPr>
          <w:rFonts w:cs="Times New Roman" w:ascii="Times New Roman" w:hAnsi="Times New Roman"/>
          <w:b/>
          <w:sz w:val="22"/>
        </w:rPr>
        <w:t>Other Eligible Support.</w:t>
      </w:r>
      <w:r>
        <w:rPr>
          <w:rFonts w:cs="Times New Roman" w:ascii="Times New Roman" w:hAnsi="Times New Roman"/>
          <w:sz w:val="22"/>
        </w:rPr>
        <w:t xml:space="preserve">  The following items will qualify as </w:t>
      </w:r>
      <w:r>
        <w:rPr>
          <w:rFonts w:cs="Times New Roman" w:ascii="Times New Roman" w:hAnsi="Times New Roman"/>
          <w:b/>
          <w:sz w:val="22"/>
        </w:rPr>
        <w:t>“Other Eligible Support”</w:t>
      </w:r>
      <w:r>
        <w:rPr>
          <w:rFonts w:cs="Times New Roman" w:ascii="Times New Roman" w:hAnsi="Times New Roman"/>
          <w:sz w:val="22"/>
        </w:rPr>
        <w:t xml:space="preserve"> for the party specified:</w:t>
      </w:r>
    </w:p>
    <w:p>
      <w:pPr>
        <w:pStyle w:val="Norma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A</w:t>
            </w:r>
          </w:p>
          <w:p>
            <w:pPr>
              <w:pStyle w:val="Norma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snapToGrid w:val="false"/>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jc w:val="center"/>
              <w:rPr>
                <w:rFonts w:ascii="Times New Roman" w:hAnsi="Times New Roman" w:cs="Times New Roman"/>
                <w:b/>
                <w:sz w:val="22"/>
              </w:rPr>
            </w:pPr>
            <w:r>
              <w:rPr>
                <w:rFonts w:cs="Times New Roman" w:ascii="Times New Roman" w:hAnsi="Times New Roman"/>
                <w:b/>
                <w:sz w:val="22"/>
              </w:rPr>
              <w:t>Valuation</w:t>
            </w:r>
          </w:p>
          <w:p>
            <w:pPr>
              <w:pStyle w:val="Normal"/>
              <w:jc w:val="center"/>
              <w:rPr>
                <w:rFonts w:ascii="Times New Roman" w:hAnsi="Times New Roman" w:cs="Times New Roman"/>
                <w:b/>
                <w:sz w:val="22"/>
              </w:rPr>
            </w:pPr>
            <w:r>
              <w:rPr>
                <w:rFonts w:cs="Times New Roman" w:ascii="Times New Roman" w:hAnsi="Times New Roman"/>
                <w:b/>
                <w:sz w:val="22"/>
              </w:rPr>
              <w:t>Percentage</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jc w:val="both"/>
              <w:rPr>
                <w:rFonts w:ascii="Times New Roman" w:hAnsi="Times New Roman" w:cs="Times New Roman"/>
                <w:sz w:val="22"/>
              </w:rPr>
            </w:pPr>
            <w:r>
              <w:rPr>
                <w:rFonts w:cs="Times New Roman" w:ascii="Times New Roman" w:hAnsi="Times New Roman"/>
                <w:sz w:val="22"/>
              </w:rPr>
              <w:t>Letters of Credit</w:t>
            </w:r>
          </w:p>
        </w:tc>
        <w:tc>
          <w:tcPr>
            <w:tcW w:w="144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644"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3757" w:type="dxa"/>
            <w:tcBorders/>
          </w:tcPr>
          <w:p>
            <w:pPr>
              <w:pStyle w:val="Normal"/>
              <w:rPr>
                <w:rFonts w:ascii="Times New Roman" w:hAnsi="Times New Roman" w:cs="Times New Roman"/>
                <w:sz w:val="22"/>
              </w:rPr>
            </w:pPr>
            <w:r>
              <w:rPr>
                <w:rFonts w:cs="Times New Roman" w:ascii="Times New Roman" w:hAnsi="Times New Roman"/>
                <w:sz w:val="22"/>
              </w:rPr>
              <w:t>100% of the Value of the Other Eligible Support unless a Letter of Credit Default shall apply with respect to such Letter of Credit in which case the Valuation Percentage shall be 0.</w:t>
            </w:r>
          </w:p>
        </w:tc>
      </w:tr>
    </w:tbl>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sz w:val="22"/>
        </w:rPr>
        <w:t xml:space="preserve">(iv)  </w:t>
      </w:r>
      <w:r>
        <w:rPr>
          <w:rFonts w:cs="Times New Roman" w:ascii="Times New Roman" w:hAnsi="Times New Roman"/>
          <w:b/>
          <w:sz w:val="22"/>
        </w:rPr>
        <w:t>Thresholds.</w:t>
      </w:r>
    </w:p>
    <w:p>
      <w:pPr>
        <w:pStyle w:val="Norma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sz w:val="22"/>
        </w:rPr>
        <w:t xml:space="preserve">(A)  </w:t>
      </w:r>
      <w:r>
        <w:rPr>
          <w:rFonts w:cs="Times New Roman" w:ascii="Times New Roman" w:hAnsi="Times New Roman"/>
          <w:b/>
          <w:sz w:val="22"/>
        </w:rPr>
        <w:t>“Independent Amount”</w:t>
      </w:r>
      <w:r>
        <w:rPr>
          <w:rFonts w:cs="Times New Roman" w:ascii="Times New Roman" w:hAnsi="Times New Roman"/>
          <w:sz w:val="22"/>
        </w:rPr>
        <w:t xml:space="preserve"> means with respect to Party A: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firstLine="360" w:start="720" w:end="0"/>
        <w:jc w:val="both"/>
        <w:outlineLvl w:val="0"/>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U.S. $0.</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(B)  </w:t>
      </w:r>
      <w:r>
        <w:rPr>
          <w:rFonts w:cs="Times New Roman" w:ascii="Times New Roman" w:hAnsi="Times New Roman"/>
          <w:b/>
          <w:sz w:val="22"/>
        </w:rPr>
        <w:t>“Threshold”</w:t>
      </w:r>
      <w:r>
        <w:rPr>
          <w:rFonts w:cs="Times New Roman" w:ascii="Times New Roman" w:hAnsi="Times New Roman"/>
          <w:sz w:val="22"/>
        </w:rPr>
        <w:t xml:space="preserve"> means with respect to Party A, U.S. $10,000,000 and with respect to Party B, U.S. $1,000,000;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firstLine="360" w:start="720" w:end="0"/>
        <w:jc w:val="both"/>
        <w:outlineLvl w:val="0"/>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 $1.</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(D)  </w:t>
      </w:r>
      <w:r>
        <w:rPr>
          <w:rFonts w:cs="Times New Roman" w:ascii="Times New Roman" w:hAnsi="Times New Roman"/>
          <w:b/>
          <w:sz w:val="22"/>
        </w:rPr>
        <w:t>Rounding.</w:t>
      </w:r>
      <w:r>
        <w:rPr>
          <w:rFonts w:cs="Times New Roman" w:ascii="Times New Roman" w:hAnsi="Times New Roman"/>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  ]  the close of business in the city of the Valuation Agent on the Valuation Date or date of calculation, as applicable;</w:t>
      </w:r>
    </w:p>
    <w:p>
      <w:pPr>
        <w:pStyle w:val="Normal"/>
        <w:ind w:hanging="360" w:start="1440" w:end="0"/>
        <w:jc w:val="both"/>
        <w:rPr>
          <w:rFonts w:ascii="Times New Roman" w:hAnsi="Times New Roman" w:cs="Times New Roman"/>
          <w:sz w:val="22"/>
        </w:rPr>
      </w:pPr>
      <w:r>
        <w:rPr>
          <w:rFonts w:cs="Times New Roman" w:ascii="Times New Roman" w:hAnsi="Times New Roman"/>
          <w:sz w:val="22"/>
        </w:rPr>
      </w:r>
    </w:p>
    <w:p>
      <w:pPr>
        <w:pStyle w:val="Normal"/>
        <w:ind w:hanging="360" w:start="1440" w:end="0"/>
        <w:jc w:val="both"/>
        <w:rPr>
          <w:rFonts w:ascii="Times New Roman" w:hAnsi="Times New Roman" w:cs="Times New Roman"/>
          <w:sz w:val="22"/>
        </w:rPr>
      </w:pPr>
      <w:r>
        <w:rPr>
          <w:rFonts w:cs="Times New Roman" w:ascii="Times New Roman" w:hAnsi="Times New Roman"/>
          <w:sz w:val="22"/>
        </w:rPr>
        <w:t>[X]  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10:00 a.m., New York time, on a Local Business Day: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pPr>
      <w:r>
        <w:rPr>
          <w:rFonts w:cs="Times New Roman" w:ascii="Times New Roman" w:hAnsi="Times New Roman"/>
          <w:sz w:val="22"/>
        </w:rPr>
        <w:t>(d)</w:t>
        <w:tab/>
      </w:r>
      <w:r>
        <w:rPr>
          <w:rFonts w:cs="Times New Roman" w:ascii="Times New Roman" w:hAnsi="Times New Roman"/>
          <w:b/>
          <w:sz w:val="22"/>
        </w:rPr>
        <w:t>Conditions Precedent and Secured Party’s Rights and Remedies.</w:t>
      </w:r>
      <w:r>
        <w:rPr>
          <w:rFonts w:cs="Times New Roman" w:ascii="Times New Roman" w:hAnsi="Times New Roman"/>
          <w:sz w:val="22"/>
        </w:rPr>
        <w:t xml:space="preserve">  The following Termination Event(s) will be a </w:t>
      </w:r>
      <w:r>
        <w:rPr>
          <w:rFonts w:cs="Times New Roman" w:ascii="Times New Roman" w:hAnsi="Times New Roman"/>
          <w:b/>
          <w:sz w:val="22"/>
        </w:rPr>
        <w:t>“Specified Condition”</w:t>
      </w:r>
      <w:r>
        <w:rPr>
          <w:rFonts w:cs="Times New Roman" w:ascii="Times New Roman" w:hAnsi="Times New Roman"/>
          <w:sz w:val="22"/>
        </w:rPr>
        <w:t xml:space="preserve"> for the party specified (that party being the Affected Party if the Termination Event occurs with respect to that party):</w:t>
      </w:r>
    </w:p>
    <w:p>
      <w:pPr>
        <w:pStyle w:val="Normal"/>
        <w:ind w:start="2160" w:end="0"/>
        <w:jc w:val="both"/>
        <w:rPr>
          <w:rFonts w:ascii="Times New Roman" w:hAnsi="Times New Roman" w:cs="Times New Roman"/>
          <w:sz w:val="22"/>
        </w:rPr>
      </w:pPr>
      <w:r>
        <w:rPr>
          <w:rFonts w:cs="Times New Roman"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rFonts w:ascii="Times New Roman" w:hAnsi="Times New Roman" w:cs="Times New Roman"/>
                <w:b/>
                <w:sz w:val="22"/>
              </w:rPr>
            </w:pPr>
            <w:r>
              <w:rPr>
                <w:rFonts w:cs="Times New Roman" w:ascii="Times New Roman" w:hAnsi="Times New Roman"/>
                <w:b/>
                <w:sz w:val="22"/>
              </w:rPr>
              <w:t>Specified Condition</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A</w:t>
            </w:r>
          </w:p>
        </w:tc>
        <w:tc>
          <w:tcPr>
            <w:tcW w:w="1280" w:type="dxa"/>
            <w:tcBorders/>
          </w:tcPr>
          <w:p>
            <w:pPr>
              <w:pStyle w:val="Normal"/>
              <w:jc w:val="center"/>
              <w:rPr>
                <w:rFonts w:ascii="Times New Roman" w:hAnsi="Times New Roman" w:cs="Times New Roman"/>
                <w:b/>
                <w:sz w:val="22"/>
              </w:rPr>
            </w:pPr>
            <w:r>
              <w:rPr>
                <w:rFonts w:cs="Times New Roman" w:ascii="Times New Roman" w:hAnsi="Times New Roman"/>
                <w:b/>
                <w:sz w:val="22"/>
              </w:rPr>
              <w:t>Party B</w:t>
            </w:r>
          </w:p>
          <w:p>
            <w:pPr>
              <w:pStyle w:val="Normal"/>
              <w:jc w:val="center"/>
              <w:rPr>
                <w:rFonts w:ascii="Times New Roman" w:hAnsi="Times New Roman" w:cs="Times New Roman"/>
                <w:b/>
                <w:sz w:val="22"/>
              </w:rPr>
            </w:pPr>
            <w:r>
              <w:rPr>
                <w:rFonts w:cs="Times New Roman" w:ascii="Times New Roman" w:hAnsi="Times New Roman"/>
                <w:b/>
                <w:sz w:val="22"/>
              </w:rPr>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Illegality</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Tax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Credit Event Upon Merger</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[X]</w:t>
            </w:r>
          </w:p>
        </w:tc>
      </w:tr>
      <w:tr>
        <w:trPr/>
        <w:tc>
          <w:tcPr>
            <w:tcW w:w="3600" w:type="dxa"/>
            <w:tcBorders/>
          </w:tcPr>
          <w:p>
            <w:pPr>
              <w:pStyle w:val="Normal"/>
              <w:ind w:start="-18" w:end="0"/>
              <w:rPr>
                <w:rFonts w:ascii="Times New Roman" w:hAnsi="Times New Roman" w:cs="Times New Roman"/>
                <w:sz w:val="22"/>
              </w:rPr>
            </w:pPr>
            <w:r>
              <w:rPr>
                <w:rFonts w:cs="Times New Roman" w:ascii="Times New Roman" w:hAnsi="Times New Roman"/>
                <w:sz w:val="22"/>
              </w:rPr>
              <w:t>Additional Termination Event(s):</w:t>
            </w:r>
          </w:p>
          <w:p>
            <w:pPr>
              <w:pStyle w:val="Normal"/>
              <w:ind w:start="-18" w:end="0"/>
              <w:rPr>
                <w:rFonts w:ascii="Times New Roman" w:hAnsi="Times New Roman" w:cs="Times New Roman"/>
                <w:sz w:val="22"/>
              </w:rPr>
            </w:pPr>
            <w:r>
              <w:rPr>
                <w:rFonts w:cs="Times New Roman" w:ascii="Times New Roman" w:hAnsi="Times New Roman"/>
                <w:sz w:val="22"/>
              </w:rPr>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c>
          <w:tcPr>
            <w:tcW w:w="1280" w:type="dxa"/>
            <w:tcBorders/>
          </w:tcPr>
          <w:p>
            <w:pPr>
              <w:pStyle w:val="Normal"/>
              <w:jc w:val="center"/>
              <w:rPr>
                <w:rFonts w:ascii="Times New Roman" w:hAnsi="Times New Roman" w:cs="Times New Roman"/>
                <w:sz w:val="22"/>
              </w:rPr>
            </w:pPr>
            <w:r>
              <w:rPr>
                <w:rFonts w:cs="Times New Roman" w:ascii="Times New Roman" w:hAnsi="Times New Roman"/>
                <w:sz w:val="22"/>
              </w:rPr>
              <w:t>None</w:t>
            </w:r>
          </w:p>
        </w:tc>
      </w:tr>
    </w:tbl>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Substitution.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1440" w:end="0"/>
        <w:jc w:val="both"/>
        <w:rPr/>
      </w:pPr>
      <w:r>
        <w:rPr>
          <w:rFonts w:cs="Times New Roman" w:ascii="Times New Roman" w:hAnsi="Times New Roman"/>
          <w:sz w:val="22"/>
        </w:rPr>
        <w:t xml:space="preserve">(i)  </w:t>
      </w:r>
      <w:r>
        <w:rPr>
          <w:rFonts w:cs="Times New Roman" w:ascii="Times New Roman" w:hAnsi="Times New Roman"/>
          <w:b/>
          <w:sz w:val="22"/>
        </w:rPr>
        <w:t>“Substitution Date”</w:t>
      </w:r>
      <w:r>
        <w:rPr>
          <w:rFonts w:cs="Times New Roman" w:ascii="Times New Roman" w:hAnsi="Times New Roman"/>
          <w:sz w:val="22"/>
        </w:rPr>
        <w:t xml:space="preserve"> has the meaning specified in Paragraph 4(d)(ii).</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Consent.</w:t>
      </w:r>
      <w:r>
        <w:rPr>
          <w:rFonts w:cs="Times New Roman" w:ascii="Times New Roman" w:hAnsi="Times New Roman"/>
          <w:sz w:val="22"/>
        </w:rPr>
        <w:t xml:space="preserve">  If specified here as applicable, then the Pledgor must obtain the Secured Party’s consent for any substitution pursuant to Paragraph 4(d):  Inapplicable.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 xml:space="preserve">(f)  </w:t>
      </w:r>
      <w:r>
        <w:rPr>
          <w:rFonts w:cs="Times New Roman" w:ascii="Times New Roman" w:hAnsi="Times New Roman"/>
          <w:b/>
          <w:sz w:val="22"/>
        </w:rPr>
        <w:t>Dispute Resolution.</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New York time, on the third Local Business Day following the date on which notice of the dispute is given under Paragraph 5.</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5(i)(C) and 5(ii), the Value of Posted Credit Support as of the relevant calculation date will be calculated as follows: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With respect to cash, the face amount thereof;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cs="Times New Roman" w:ascii="Times New Roman" w:hAnsi="Times New Roman"/>
          <w:b/>
          <w:sz w:val="22"/>
        </w:rPr>
        <w:t>“Principal Market Maker”</w:t>
      </w:r>
      <w:r>
        <w:rPr>
          <w:rFonts w:cs="Times New Roman"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Holding and Using Posted Collateral.</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Eligibility to Hold Posted Collateral; Custodians.</w:t>
      </w:r>
      <w:r>
        <w:rPr>
          <w:rFonts w:cs="Times New Roman" w:ascii="Times New Roman" w:hAnsi="Times New Roman"/>
          <w:sz w:val="22"/>
        </w:rPr>
        <w:t xml:space="preserve">  Party A and its Custodian will be entitled to hold Posted Collateral pursuant to Paragraph 6(b);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that</w:t>
      </w:r>
      <w:r>
        <w:rPr>
          <w:rFonts w:cs="Times New Roman" w:ascii="Times New Roman" w:hAnsi="Times New Roman"/>
          <w:sz w:val="22"/>
        </w:rPr>
        <w:t xml:space="preserve"> the following conditions applicable to it are satisfied:</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A is not a Defaulting Party and Party A’s Credit Support Provider has a Credit Rating and the lowest Credit Rating for Party A’s Credit Support Provider is “BBB-” or higher by S&amp;P.</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within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Party B and its Custodian will be entitled to hold Posted Collateral pursuant to Paragraph 6(b); </w:t>
      </w:r>
      <w:r>
        <w:rPr>
          <w:rFonts w:cs="Times New Roman" w:ascii="Times New Roman" w:hAnsi="Times New Roman"/>
          <w:sz w:val="22"/>
          <w:u w:val="single"/>
        </w:rPr>
        <w:t>provided that</w:t>
      </w:r>
      <w:r>
        <w:rPr>
          <w:rFonts w:cs="Times New Roman" w:ascii="Times New Roman" w:hAnsi="Times New Roman"/>
          <w:sz w:val="22"/>
        </w:rPr>
        <w:t xml:space="preserve"> the following conditions applicable to it are satisfied:</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Party B is not a Defaulting Party and a Material Adverse Change has not occurred with respect to Party B.</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If a party is not eligible to hold Posted Collateral pursuant to this Section, then it shall be considered a “Downgraded Party” (as defined in Section 13(g)(ii)) and Posted Collateral shall be maintained in accordance with Sections 13(g)(ii) and 13(h)(iii).</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Use of Posted Collateral.</w:t>
      </w:r>
      <w:r>
        <w:rPr>
          <w:rFonts w:cs="Times New Roman" w:ascii="Times New Roman" w:hAnsi="Times New Roman"/>
          <w:sz w:val="22"/>
        </w:rPr>
        <w:t xml:space="preserve">  The provisions of Paragraph 6(c) will apply to the parties; </w:t>
      </w:r>
      <w:r>
        <w:rPr>
          <w:rFonts w:cs="Times New Roman" w:ascii="Times New Roman" w:hAnsi="Times New Roman"/>
          <w:sz w:val="22"/>
          <w:u w:val="single"/>
        </w:rPr>
        <w:t>provided</w:t>
      </w:r>
      <w:r>
        <w:rPr>
          <w:rFonts w:cs="Times New Roman" w:ascii="Times New Roman" w:hAnsi="Times New Roman"/>
          <w:sz w:val="22"/>
        </w:rPr>
        <w:t xml:space="preserve">, </w:t>
      </w:r>
      <w:r>
        <w:rPr>
          <w:rFonts w:cs="Times New Roman" w:ascii="Times New Roman" w:hAnsi="Times New Roman"/>
          <w:sz w:val="22"/>
          <w:u w:val="single"/>
        </w:rPr>
        <w:t>however</w:t>
      </w:r>
      <w:r>
        <w:rPr>
          <w:rFonts w:cs="Times New Roman" w:ascii="Times New Roman" w:hAnsi="Times New Roman"/>
          <w:sz w:val="22"/>
        </w:rPr>
        <w:t xml:space="preserve">, that if a party is not eligible to hold Posted Collateral pursuant to Section 13(g)(i) (such party shall be the </w:t>
      </w:r>
      <w:r>
        <w:rPr>
          <w:rFonts w:cs="Times New Roman" w:ascii="Times New Roman" w:hAnsi="Times New Roman"/>
          <w:b/>
          <w:sz w:val="22"/>
        </w:rPr>
        <w:t>“Downgraded Party”</w:t>
      </w:r>
      <w:r>
        <w:rPr>
          <w:rFonts w:cs="Times New Roman" w:ascii="Times New Roman" w:hAnsi="Times New Roman"/>
          <w:sz w:val="22"/>
        </w:rPr>
        <w:t xml:space="preserve"> and the event that caused it to be ineligible to hold Posted Collateral shall be a </w:t>
      </w:r>
      <w:r>
        <w:rPr>
          <w:rFonts w:cs="Times New Roman" w:ascii="Times New Roman" w:hAnsi="Times New Roman"/>
          <w:b/>
          <w:sz w:val="22"/>
        </w:rPr>
        <w:t>“Credit Rating Event”</w:t>
      </w:r>
      <w:r>
        <w:rPr>
          <w:rFonts w:cs="Times New Roman" w:ascii="Times New Roman" w:hAnsi="Times New Roman"/>
          <w:sz w:val="22"/>
        </w:rPr>
        <w:t>), then:</w:t>
      </w:r>
    </w:p>
    <w:p>
      <w:pPr>
        <w:pStyle w:val="Normal"/>
        <w:ind w:hanging="720" w:start="216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rFonts w:ascii="Times New Roman" w:hAnsi="Times New Roman" w:cs="Times New Roman"/>
          <w:sz w:val="22"/>
        </w:rPr>
      </w:pPr>
      <w:r>
        <w:rPr>
          <w:rFonts w:cs="Times New Roman" w:ascii="Times New Roman" w:hAnsi="Times New Roman"/>
          <w:sz w:val="22"/>
        </w:rPr>
        <w:t>(1)  the provisions of Paragraph 6(c) will not apply with respect to the Downgraded Party as the Secured Party; and</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Normal"/>
        <w:ind w:start="1080" w:end="0"/>
        <w:jc w:val="both"/>
        <w:rPr/>
      </w:pPr>
      <w:r>
        <w:rPr>
          <w:rFonts w:cs="Times New Roman"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sz w:val="22"/>
        </w:rPr>
        <w:t>“Qualified Institution”</w:t>
      </w:r>
      <w:r>
        <w:rPr>
          <w:rFonts w:cs="Times New Roman" w:ascii="Times New Roman" w:hAnsi="Times New Roman"/>
          <w:sz w:val="22"/>
        </w:rPr>
        <w:t>), approved by the non-Downgraded Party (which approval shall not be unreasonably withheld) to a segregated, safekeeping or custody account (</w:t>
      </w:r>
      <w:r>
        <w:rPr>
          <w:rFonts w:cs="Times New Roman" w:ascii="Times New Roman" w:hAnsi="Times New Roman"/>
          <w:b/>
          <w:sz w:val="22"/>
        </w:rPr>
        <w:t>“Collateral Account”</w:t>
      </w:r>
      <w:r>
        <w:rPr>
          <w:rFonts w:cs="Times New Roman"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(iii)  For purposes of Section 5(a)(iii) of this Agreement, failure by a party to comply with any of the obligations under this Section 13(g) will constitute an Event of Default with respect to such party if the failure continues for two (2) Local Business Days after notice of the failure is given to that party.</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Distributions and Interest Amount.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will be:  Federal Funds Overnight Rate as from time to time in effect.</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6(d)(ii) will apply except as modified below.</w:t>
      </w:r>
    </w:p>
    <w:p>
      <w:pPr>
        <w:pStyle w:val="Normal"/>
        <w:ind w:hanging="720" w:start="144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Section 13(g)(ii), and the investment of the Posted Collateral consisting of Cash shall be governed in accordance with the following provisions: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For purposes of Section 5(a)(iii) of this Agreement, failure by a party to comply with any of the obligations under this Section 13(h)(iii)(A) will constitute an Event of Default with respect to such party if the failure continues for two (2) Local Business Days after notice of the failure is given to that party.</w:t>
      </w:r>
    </w:p>
    <w:p>
      <w:pPr>
        <w:pStyle w:val="Normal"/>
        <w:ind w:start="900" w:end="0"/>
        <w:jc w:val="both"/>
        <w:rPr>
          <w:rFonts w:ascii="Times New Roman" w:hAnsi="Times New Roman" w:cs="Times New Roman"/>
          <w:sz w:val="22"/>
        </w:rPr>
      </w:pPr>
      <w:r>
        <w:rPr>
          <w:rFonts w:cs="Times New Roman" w:ascii="Times New Roman" w:hAnsi="Times New Roman"/>
          <w:sz w:val="22"/>
        </w:rPr>
      </w:r>
    </w:p>
    <w:p>
      <w:pPr>
        <w:pStyle w:val="Normal"/>
        <w:ind w:start="900" w:end="0"/>
        <w:jc w:val="both"/>
        <w:rPr>
          <w:rFonts w:ascii="Times New Roman" w:hAnsi="Times New Roman" w:cs="Times New Roman"/>
          <w:sz w:val="22"/>
        </w:rPr>
      </w:pPr>
      <w:r>
        <w:rPr>
          <w:rFonts w:cs="Times New Roman" w:ascii="Times New Roman" w:hAnsi="Times New Roman"/>
          <w:sz w:val="22"/>
        </w:rPr>
        <w:t>(B)  If Transfer of an Interest Amount (or any portion thereof) to a Pledgor on any day would result in, or increase, a Delivery Amount (treating the day as a Valuation Day, as provided in Paragraph 6(d)(ii)) but the Pledgor would nonetheless have no obligation to make a Transfer pursuant to Paragraph 3(a) on that day if it were a Valuation Day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(i)</w:t>
        <w:tab/>
      </w:r>
      <w:r>
        <w:rPr>
          <w:rFonts w:cs="Times New Roman" w:ascii="Times New Roman" w:hAnsi="Times New Roman"/>
          <w:b/>
          <w:sz w:val="22"/>
        </w:rPr>
        <w:t>Additional Representation(s) and Covenants.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(j)</w:t>
        <w:tab/>
      </w:r>
      <w:r>
        <w:rPr>
          <w:rFonts w:cs="Times New Roman" w:ascii="Times New Roman" w:hAnsi="Times New Roman"/>
          <w:b/>
          <w:sz w:val="22"/>
        </w:rPr>
        <w:t>Other Eligible Support and Other Posted Support.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  </w:t>
      </w:r>
      <w:r>
        <w:rPr>
          <w:rFonts w:cs="Times New Roman" w:ascii="Times New Roman" w:hAnsi="Times New Roman"/>
          <w:b/>
          <w:sz w:val="22"/>
        </w:rPr>
        <w:t>“Value”</w:t>
      </w:r>
      <w:r>
        <w:rPr>
          <w:rFonts w:cs="Times New Roman" w:ascii="Times New Roman" w:hAnsi="Times New Roman"/>
          <w:sz w:val="22"/>
        </w:rPr>
        <w:t xml:space="preserve"> with respect to Other Eligible Support and Other Posted Support means:  The stated amount then available under the Letter of Credit to be unconditionally drawn by the Secured Party.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  </w:t>
      </w:r>
      <w:r>
        <w:rPr>
          <w:rFonts w:cs="Times New Roman" w:ascii="Times New Roman" w:hAnsi="Times New Roman"/>
          <w:b/>
          <w:sz w:val="22"/>
        </w:rPr>
        <w:t>“Transfer”</w:t>
      </w:r>
      <w:r>
        <w:rPr>
          <w:rFonts w:cs="Times New Roman"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sz w:val="22"/>
        </w:rPr>
        <w:t xml:space="preserve">(iii)  All Other Eligible Support and Other Posted Support consisting of Letters of Credit shall be issued and maintained in accordance with the provisions set forth in </w:t>
      </w:r>
      <w:r>
        <w:rPr>
          <w:rFonts w:cs="Times New Roman" w:ascii="Times New Roman" w:hAnsi="Times New Roman"/>
          <w:sz w:val="22"/>
          <w:u w:val="single"/>
        </w:rPr>
        <w:t>Exhibit A</w:t>
      </w:r>
      <w:r>
        <w:rPr>
          <w:rFonts w:cs="Times New Roman" w:ascii="Times New Roman" w:hAnsi="Times New Roman"/>
          <w:sz w:val="22"/>
        </w:rPr>
        <w:t xml:space="preserve"> and </w:t>
      </w:r>
      <w:r>
        <w:rPr>
          <w:rFonts w:cs="Times New Roman" w:ascii="Times New Roman" w:hAnsi="Times New Roman"/>
          <w:sz w:val="22"/>
          <w:u w:val="single"/>
        </w:rPr>
        <w:t>Schedule 1</w:t>
      </w:r>
      <w:r>
        <w:rPr>
          <w:rFonts w:cs="Times New Roman" w:ascii="Times New Roman" w:hAnsi="Times New Roman"/>
          <w:sz w:val="22"/>
        </w:rPr>
        <w:t xml:space="preserve"> attached hereto.</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(k)</w:t>
        <w:tab/>
      </w:r>
      <w:r>
        <w:rPr>
          <w:rFonts w:cs="Times New Roman" w:ascii="Times New Roman" w:hAnsi="Times New Roman"/>
          <w:b/>
          <w:sz w:val="22"/>
        </w:rPr>
        <w:t>Demands and Notices.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demands, specifications, and notices under this Annex will be made pursuant to the Notices Section of this Agreement.</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hanging="720" w:start="720" w:end="0"/>
        <w:jc w:val="both"/>
        <w:rPr>
          <w:rFonts w:ascii="Times New Roman" w:hAnsi="Times New Roman" w:cs="Times New Roman"/>
          <w:sz w:val="22"/>
        </w:rPr>
      </w:pPr>
      <w:r>
        <w:rPr>
          <w:rFonts w:cs="Times New Roman" w:ascii="Times New Roman" w:hAnsi="Times New Roman"/>
          <w:sz w:val="22"/>
        </w:rPr>
        <w:t>(l)</w:t>
        <w:tab/>
      </w:r>
      <w:r>
        <w:rPr>
          <w:rFonts w:cs="Times New Roman" w:ascii="Times New Roman" w:hAnsi="Times New Roman"/>
          <w:b/>
          <w:sz w:val="22"/>
        </w:rPr>
        <w:t>Addresses for Transfers.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A: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hanging="1080" w:start="1800" w:end="0"/>
        <w:jc w:val="both"/>
        <w:rPr>
          <w:rFonts w:ascii="Times New Roman" w:hAnsi="Times New Roman" w:cs="Times New Roman"/>
          <w:sz w:val="22"/>
        </w:rPr>
      </w:pPr>
      <w:r>
        <w:rPr>
          <w:rFonts w:cs="Times New Roman" w:ascii="Times New Roman" w:hAnsi="Times New Roman"/>
          <w:sz w:val="22"/>
        </w:rPr>
        <w:t>Party B:      To be provided in notice requesting delivery/return of Eligible Credit Support/Posted Credit Support.</w:t>
      </w:r>
    </w:p>
    <w:p>
      <w:pPr>
        <w:pStyle w:val="Normal"/>
        <w:ind w:start="720" w:end="0"/>
        <w:jc w:val="both"/>
        <w:rPr>
          <w:rFonts w:ascii="Times New Roman" w:hAnsi="Times New Roman" w:cs="Times New Roman"/>
          <w:sz w:val="22"/>
        </w:rPr>
      </w:pPr>
      <w:r>
        <w:rPr>
          <w:rFonts w:cs="Times New Roman" w:ascii="Times New Roman" w:hAnsi="Times New Roman"/>
          <w:sz w:val="22"/>
        </w:rPr>
        <w:t>.</w:t>
      </w:r>
    </w:p>
    <w:p>
      <w:pPr>
        <w:pStyle w:val="Normal"/>
        <w:keepNext w:val="true"/>
        <w:ind w:hanging="720" w:start="720" w:end="0"/>
        <w:jc w:val="both"/>
        <w:rPr>
          <w:rFonts w:ascii="Times New Roman" w:hAnsi="Times New Roman" w:cs="Times New Roman"/>
          <w:sz w:val="22"/>
        </w:rPr>
      </w:pPr>
      <w:r>
        <w:rPr>
          <w:rFonts w:cs="Times New Roman" w:ascii="Times New Roman" w:hAnsi="Times New Roman"/>
          <w:sz w:val="22"/>
        </w:rPr>
        <w:t>(m)</w:t>
        <w:tab/>
      </w:r>
      <w:r>
        <w:rPr>
          <w:rFonts w:cs="Times New Roman" w:ascii="Times New Roman" w:hAnsi="Times New Roman"/>
          <w:b/>
          <w:sz w:val="22"/>
        </w:rPr>
        <w:t>Other Provisions.</w:t>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r>
    </w:p>
    <w:p>
      <w:pPr>
        <w:pStyle w:val="Normal"/>
        <w:keepNext w:val="true"/>
        <w:ind w:hanging="720" w:start="1440" w:end="0"/>
        <w:jc w:val="both"/>
        <w:rPr>
          <w:rFonts w:ascii="Times New Roman" w:hAnsi="Times New Roman" w:cs="Times New Roman"/>
          <w:sz w:val="22"/>
        </w:rPr>
      </w:pPr>
      <w:r>
        <w:rPr>
          <w:rFonts w:cs="Times New Roman" w:ascii="Times New Roman" w:hAnsi="Times New Roman"/>
          <w:sz w:val="22"/>
        </w:rPr>
        <w:t>(i)  Paragraph 12 of this Annex is hereby amended by adding the following:</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rFonts w:ascii="Times New Roman" w:hAnsi="Times New Roman" w:cs="Times New Roman"/>
          <w:b/>
          <w:sz w:val="22"/>
        </w:rPr>
      </w:pPr>
      <w:r>
        <w:rPr>
          <w:rFonts w:cs="Times New Roman" w:ascii="Times New Roman" w:hAnsi="Times New Roman"/>
          <w:b/>
          <w:sz w:val="22"/>
        </w:rPr>
      </w:r>
    </w:p>
    <w:p>
      <w:pPr>
        <w:pStyle w:val="Normal"/>
        <w:ind w:start="720" w:end="0"/>
        <w:jc w:val="both"/>
        <w:rPr/>
      </w:pPr>
      <w:r>
        <w:rPr>
          <w:rFonts w:cs="Times New Roman" w:ascii="Times New Roman" w:hAnsi="Times New Roman"/>
          <w:b/>
          <w:sz w:val="22"/>
        </w:rPr>
        <w:t>“</w:t>
      </w:r>
      <w:r>
        <w:rPr>
          <w:b/>
          <w:sz w:val="22"/>
        </w:rPr>
        <w:t>Current Assets”</w:t>
      </w:r>
      <w:r>
        <w:rPr>
          <w:sz w:val="22"/>
        </w:rPr>
        <w:t xml:space="preserve"> means consolidated current assets of Party B as would be reflected on a consolidated balance sheet of Party B prepared in accordance with GAAP.</w:t>
      </w:r>
    </w:p>
    <w:p>
      <w:pPr>
        <w:pStyle w:val="Normal"/>
        <w:ind w:start="720" w:end="0"/>
        <w:jc w:val="both"/>
        <w:rPr>
          <w:sz w:val="22"/>
        </w:rPr>
      </w:pPr>
      <w:r>
        <w:rPr>
          <w:sz w:val="22"/>
        </w:rPr>
      </w:r>
    </w:p>
    <w:p>
      <w:pPr>
        <w:pStyle w:val="Normal"/>
        <w:ind w:start="720" w:end="0"/>
        <w:jc w:val="both"/>
        <w:rPr/>
      </w:pPr>
      <w:r>
        <w:rPr>
          <w:b/>
          <w:sz w:val="22"/>
        </w:rPr>
        <w:t>“</w:t>
      </w:r>
      <w:r>
        <w:rPr>
          <w:b/>
          <w:sz w:val="22"/>
        </w:rPr>
        <w:t>Current Liabilities”</w:t>
      </w:r>
      <w:r>
        <w:rPr>
          <w:sz w:val="22"/>
        </w:rPr>
        <w:t xml:space="preserve"> means consolidated current liabilities of Party B as would be reflected on a consolidated balance sheet of Party B prepared in accordance with GAAP.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GAAP”</w:t>
      </w:r>
      <w:r>
        <w:rPr>
          <w:rFonts w:cs="Times New Roman" w:ascii="Times New Roman" w:hAnsi="Times New Roman"/>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transferable, standby letter of credit, issued by a major U.S. commercial bank or foreign bank with a U.S. branch office with a Credit Rating of at least “A-” by S&amp;P or “A3” by Moody’s, utilizing the form set forth in </w:t>
      </w:r>
      <w:r>
        <w:rPr>
          <w:rFonts w:cs="Times New Roman" w:ascii="Times New Roman" w:hAnsi="Times New Roman"/>
          <w:sz w:val="22"/>
          <w:u w:val="single"/>
        </w:rPr>
        <w:t>Schedule 1</w:t>
      </w:r>
      <w:r>
        <w:rPr>
          <w:rFonts w:cs="Times New Roman" w:ascii="Times New Roman" w:hAnsi="Times New Roman"/>
          <w:sz w:val="22"/>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this Agreement.</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rFonts w:cs="Times New Roman" w:ascii="Times New Roman" w:hAnsi="Times New Roman"/>
          <w:b/>
          <w:sz w:val="22"/>
        </w:rPr>
        <w:t>“</w:t>
      </w:r>
      <w:r>
        <w:rPr>
          <w:rFonts w:cs="Times New Roman" w:ascii="Times New Roman" w:hAnsi="Times New Roman"/>
          <w:b/>
          <w:sz w:val="22"/>
        </w:rPr>
        <w:t>Material Adverse Change”</w:t>
      </w:r>
      <w:r>
        <w:rPr>
          <w:rFonts w:cs="Times New Roman" w:ascii="Times New Roman" w:hAnsi="Times New Roman"/>
          <w:sz w:val="22"/>
        </w:rPr>
        <w:t xml:space="preserve"> means </w:t>
      </w:r>
      <w:r>
        <w:rPr>
          <w:sz w:val="22"/>
        </w:rPr>
        <w:t>(a) with respect to Party A, its Credit Support Provider’s Credit Rating is below “BBB-” by S&amp;P; or (b) with respect to Party B, it shall have any of the following occur at any time: (i) its Net Worth falls below U.S. $30,000,000 or (ii) the ratio of its Current Assets to Current Liabilities is less than 1 to 1.</w:t>
      </w:r>
    </w:p>
    <w:p>
      <w:pPr>
        <w:pStyle w:val="Normal"/>
        <w:spacing w:lineRule="atLeast" w:line="240"/>
        <w:ind w:start="720" w:end="0"/>
        <w:jc w:val="both"/>
        <w:rPr>
          <w:sz w:val="22"/>
        </w:rPr>
      </w:pPr>
      <w:r>
        <w:rPr>
          <w:sz w:val="22"/>
        </w:rPr>
      </w:r>
    </w:p>
    <w:p>
      <w:pPr>
        <w:pStyle w:val="Normal"/>
        <w:numPr>
          <w:ilvl w:val="0"/>
          <w:numId w:val="0"/>
        </w:numPr>
        <w:ind w:start="720" w:end="0"/>
        <w:jc w:val="both"/>
        <w:outlineLvl w:val="0"/>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spacing w:lineRule="atLeast" w:line="240"/>
        <w:ind w:start="720" w:end="144"/>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720" w:end="144"/>
        <w:jc w:val="both"/>
        <w:rPr/>
      </w:pPr>
      <w:r>
        <w:rPr>
          <w:rFonts w:cs="Times New Roman" w:ascii="Times New Roman" w:hAnsi="Times New Roman"/>
          <w:b/>
          <w:sz w:val="22"/>
        </w:rPr>
        <w:t>“</w:t>
      </w:r>
      <w:r>
        <w:rPr>
          <w:rFonts w:cs="Times New Roman" w:ascii="Times New Roman" w:hAnsi="Times New Roman"/>
          <w:b/>
          <w:sz w:val="22"/>
        </w:rPr>
        <w:t>Net Worth”</w:t>
      </w:r>
      <w:r>
        <w:rPr>
          <w:rFonts w:cs="Times New Roman" w:ascii="Times New Roman" w:hAnsi="Times New Roman"/>
          <w:sz w:val="22"/>
        </w:rPr>
        <w:t xml:space="preserve"> means total assets of Party B and its consolidated subsidiaries, if any, (exclusive of intangible assets), minus the total liabilities, each as would be reflected on a consolidated balance sheet of Party B prepared in accordance with GAAP.</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ind w:start="720" w:end="0"/>
        <w:jc w:val="both"/>
        <w:outlineLvl w:val="0"/>
        <w:rPr/>
      </w:pPr>
      <w:r>
        <w:rPr>
          <w:rFonts w:cs="Times New Roman" w:ascii="Times New Roman" w:hAnsi="Times New Roman"/>
          <w:b/>
          <w:sz w:val="22"/>
        </w:rPr>
        <w:t>“</w:t>
      </w:r>
      <w:r>
        <w:rPr>
          <w:rFonts w:cs="Times New Roman" w:ascii="Times New Roman" w:hAnsi="Times New Roman"/>
          <w:b/>
          <w:sz w:val="22"/>
        </w:rPr>
        <w:t>S&amp;P”</w:t>
      </w:r>
      <w:r>
        <w:rPr>
          <w:rFonts w:cs="Times New Roman" w:ascii="Times New Roman" w:hAnsi="Times New Roman"/>
          <w:sz w:val="22"/>
        </w:rPr>
        <w:t xml:space="preserve"> means the Standard &amp; Poor's Rating Group (a division of McGraw-Hill, Inc.) or its successor.</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sz w:val="22"/>
        </w:rPr>
      </w:pPr>
      <w:r>
        <w:rPr>
          <w:rFonts w:cs="Times New Roman" w:ascii="Times New Roman" w:hAnsi="Times New Roman"/>
          <w:sz w:val="22"/>
        </w:rPr>
        <w:t>(ii)  Paragraph 6(d)(i) is hereby amended by adding the following sentence:</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720"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4(a) and only to the extent contemplated in the previous sentence,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numPr>
          <w:ilvl w:val="0"/>
          <w:numId w:val="0"/>
        </w:numPr>
        <w:jc w:val="center"/>
        <w:outlineLvl w:val="0"/>
        <w:rPr>
          <w:rFonts w:ascii="Times New Roman" w:hAnsi="Times New Roman" w:cs="Times New Roman"/>
          <w:b/>
          <w:sz w:val="22"/>
        </w:rPr>
      </w:pPr>
      <w:r>
        <w:rPr>
          <w:rFonts w:cs="Times New Roman" w:ascii="Times New Roman" w:hAnsi="Times New Roman"/>
          <w:b/>
          <w:sz w:val="22"/>
          <w:u w:val="single"/>
        </w:rPr>
        <w:t>EXHIBIT A</w:t>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to Paragraph 13</w:t>
      </w:r>
    </w:p>
    <w:p>
      <w:pPr>
        <w:pStyle w:val="Normal"/>
        <w:jc w:val="center"/>
        <w:rPr>
          <w:rFonts w:ascii="Times New Roman" w:hAnsi="Times New Roman" w:cs="Times New Roman"/>
          <w:sz w:val="22"/>
        </w:rPr>
      </w:pPr>
      <w:r>
        <w:rPr>
          <w:rFonts w:cs="Times New Roman" w:ascii="Times New Roman" w:hAnsi="Times New Roman"/>
          <w:b/>
          <w:sz w:val="22"/>
        </w:rPr>
        <w:t>of Annex A</w:t>
      </w:r>
    </w:p>
    <w:p>
      <w:pPr>
        <w:pStyle w:val="Normal"/>
        <w:jc w:val="center"/>
        <w:rPr>
          <w:rFonts w:ascii="Times New Roman" w:hAnsi="Times New Roman" w:cs="Times New Roman"/>
          <w:sz w:val="22"/>
        </w:rPr>
      </w:pPr>
      <w:r>
        <w:rPr>
          <w:rFonts w:cs="Times New Roman" w:ascii="Times New Roman" w:hAnsi="Times New Roman"/>
          <w:sz w:val="22"/>
        </w:rPr>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b/>
          <w:sz w:val="22"/>
        </w:rPr>
        <w:t>LETTER OF CREDIT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I.  </w:t>
      </w:r>
      <w:r>
        <w:rPr>
          <w:rFonts w:cs="Times New Roman" w:ascii="Times New Roman" w:hAnsi="Times New Roman"/>
          <w:b/>
          <w:sz w:val="22"/>
          <w:u w:val="single"/>
        </w:rPr>
        <w:t>Letters of Credit</w:t>
      </w:r>
      <w:r>
        <w:rPr>
          <w:rFonts w:cs="Times New Roman" w:ascii="Times New Roman" w:hAnsi="Times New Roman"/>
          <w:sz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Local Business Days prior to the expiration of the outstanding Letter of Credit, and (iii) if a bank issuing a Letter of Credit shall fail to honor Y’s properly documented request to draw on an outstanding Letter of Credit, provide for the benefit of Y a substitute Letter of Credit that is issued by a bank acceptable to Y, other than the bank failing to honor the outstanding Letter of Credit, within two (2) Local Business Days after such refusal.</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pPr>
      <w:r>
        <w:rPr>
          <w:rFonts w:cs="Times New Roman" w:ascii="Times New Roman" w:hAnsi="Times New Roman"/>
          <w:sz w:val="22"/>
        </w:rPr>
        <w:t xml:space="preserve">(b)  Upon the occurrence of a Letter of Credit Default, X agrees to deliver a substitute Letter of Credit to Y on or before the second Local Business Day after written demand by Y (or on or before the fifth Local Business Day without the requirement for any demand if only clause (i) under the definition of Letter of Credit Default applies). </w:t>
      </w:r>
      <w:r>
        <w:rPr>
          <w:rFonts w:cs="Times New Roman" w:ascii="Times New Roman" w:hAnsi="Times New Roman"/>
          <w:b/>
          <w:sz w:val="22"/>
        </w:rPr>
        <w:t xml:space="preserve"> “</w:t>
      </w:r>
      <w:r>
        <w:rPr>
          <w:rFonts w:cs="Times New Roman" w:ascii="Times New Roman" w:hAnsi="Times New Roman"/>
          <w:b/>
          <w:sz w:val="22"/>
          <w:u w:val="single"/>
        </w:rPr>
        <w:t>Letter of Credit Default</w:t>
      </w:r>
      <w:r>
        <w:rPr>
          <w:rFonts w:cs="Times New Roman" w:ascii="Times New Roman" w:hAnsi="Times New Roman"/>
          <w:b/>
          <w:sz w:val="22"/>
        </w:rPr>
        <w:t>”</w:t>
      </w:r>
      <w:r>
        <w:rPr>
          <w:rFonts w:cs="Times New Roman" w:ascii="Times New Roman" w:hAnsi="Times New Roman"/>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u w:val="single"/>
        </w:rPr>
        <w:t>provided, however</w:t>
      </w:r>
      <w:r>
        <w:rPr>
          <w:rFonts w:cs="Times New Roman" w:ascii="Times New Roman" w:hAnsi="Times New Roman"/>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(c)  As one method of providing additional Posted Credit Support, X may increase the amount of an outstanding Letter of Credit or establish one or more additional Letters of Credit.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specific requirements of the Letter of Credit.</w:t>
      </w:r>
    </w:p>
    <w:p>
      <w:pPr>
        <w:pStyle w:val="Normal"/>
        <w:ind w:start="540" w:end="0"/>
        <w:jc w:val="both"/>
        <w:rPr>
          <w:rFonts w:ascii="Times New Roman" w:hAnsi="Times New Roman" w:cs="Times New Roman"/>
          <w:sz w:val="22"/>
        </w:rPr>
      </w:pPr>
      <w:r>
        <w:rPr>
          <w:rFonts w:cs="Times New Roman" w:ascii="Times New Roman" w:hAnsi="Times New Roman"/>
          <w:sz w:val="22"/>
        </w:rPr>
      </w:r>
    </w:p>
    <w:p>
      <w:pPr>
        <w:pStyle w:val="Normal"/>
        <w:ind w:start="540" w:end="0"/>
        <w:jc w:val="both"/>
        <w:rPr>
          <w:rFonts w:ascii="Times New Roman" w:hAnsi="Times New Roman" w:cs="Times New Roman"/>
          <w:sz w:val="22"/>
        </w:rPr>
      </w:pPr>
      <w:r>
        <w:rPr>
          <w:rFonts w:cs="Times New Roman" w:ascii="Times New Roman" w:hAnsi="Times New Roman"/>
          <w:sz w:val="22"/>
        </w:rPr>
        <w:t>(ii)  If X shall fail to renew, substitute, or sufficiently increase the amount of an outstanding Letter of Credit (as the case may be), or establish one or more additional Letters of Credit, or otherwise provide sufficient Posted Credit Support, then Y may draw on the entire, undrawn portion of any outstanding Letter of Credit upon submission to the bank issuing such Letter of Credit of one or more certificates in accordance with specific requirements of the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to Y in accordance with the terms of this Annex.</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rPr>
      </w:pPr>
      <w:r>
        <w:rPr>
          <w:rFonts w:cs="Times New Roman" w:ascii="Times New Roman" w:hAnsi="Times New Roman"/>
          <w:sz w:val="22"/>
        </w:rPr>
      </w:r>
    </w:p>
    <w:p>
      <w:pPr>
        <w:pStyle w:val="Normal"/>
        <w:ind w:start="180" w:end="0"/>
        <w:jc w:val="both"/>
        <w:rPr>
          <w:rFonts w:ascii="Times New Roman" w:hAnsi="Times New Roman" w:cs="Times New Roman"/>
          <w:sz w:val="22"/>
        </w:rPr>
      </w:pPr>
      <w:r>
        <w:rPr>
          <w:rFonts w:cs="Times New Roman" w:ascii="Times New Roman" w:hAnsi="Times New Roman"/>
          <w:sz w:val="22"/>
        </w:rPr>
        <w:t>(f)  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rPr>
      </w:pPr>
      <w:r>
        <w:rPr>
          <w:rFonts w:cs="Times New Roman" w:ascii="Times New Roman" w:hAnsi="Times New Roman"/>
          <w:sz w:val="22"/>
        </w:rPr>
      </w:r>
    </w:p>
    <w:p>
      <w:pPr>
        <w:sectPr>
          <w:headerReference w:type="default" r:id="rId5"/>
          <w:footerReference w:type="default" r:id="rId6"/>
          <w:footerReference w:type="first" r:id="rId7"/>
          <w:type w:val="nextPage"/>
          <w:pgSz w:w="12240" w:h="15840"/>
          <w:pgMar w:left="1440" w:right="1440" w:gutter="0" w:header="720" w:top="1008" w:footer="720" w:bottom="1008"/>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rPr>
        <w:t xml:space="preserve">(g)  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agreements for all purposes of this Agreement and this Annex, including Section 5(a)(iii) of this Agreement.</w:t>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b/>
          <w:sz w:val="22"/>
          <w:u w:val="single"/>
        </w:rPr>
        <w:t>SCHEDULE 1</w:t>
      </w:r>
    </w:p>
    <w:p>
      <w:pPr>
        <w:pStyle w:val="Normal"/>
        <w:jc w:val="center"/>
        <w:rPr>
          <w:rFonts w:ascii="Times New Roman" w:hAnsi="Times New Roman" w:cs="Times New Roman"/>
          <w:sz w:val="22"/>
        </w:rPr>
      </w:pPr>
      <w:r>
        <w:rPr>
          <w:rFonts w:cs="Times New Roman" w:ascii="Times New Roman" w:hAnsi="Times New Roman"/>
          <w:sz w:val="22"/>
        </w:rPr>
      </w:r>
    </w:p>
    <w:p>
      <w:pPr>
        <w:pStyle w:val="Normal"/>
        <w:numPr>
          <w:ilvl w:val="0"/>
          <w:numId w:val="0"/>
        </w:numPr>
        <w:jc w:val="center"/>
        <w:outlineLvl w:val="0"/>
        <w:rPr>
          <w:rFonts w:ascii="Times New Roman" w:hAnsi="Times New Roman" w:cs="Times New Roman"/>
          <w:sz w:val="22"/>
        </w:rPr>
      </w:pPr>
      <w:r>
        <w:rPr>
          <w:rFonts w:cs="Times New Roman" w:ascii="Times New Roman" w:hAnsi="Times New Roman"/>
          <w:sz w:val="22"/>
        </w:rPr>
        <w:t>IRREVOCABLE TRANSFERABLE STANDBY LETTER OF CREDIT FORMAT</w:t>
      </w:r>
    </w:p>
    <w:p>
      <w:pPr>
        <w:pStyle w:val="Norma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[Address]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Re:  Credit No. _______________</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tab/>
        <w:t>or</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w:t>
      </w:r>
    </w:p>
    <w:p>
      <w:pPr>
        <w:pStyle w:val="Norma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rFonts w:ascii="Times New Roman" w:hAnsi="Times New Roman" w:cs="Times New Roman"/>
          <w:sz w:val="22"/>
        </w:rPr>
      </w:pPr>
      <w:r>
        <w:rPr>
          <w:rFonts w:cs="Times New Roman" w:ascii="Times New Roman" w:hAnsi="Times New Roman"/>
          <w:sz w:val="22"/>
        </w:rPr>
      </w:r>
    </w:p>
    <w:p>
      <w:pPr>
        <w:sectPr>
          <w:headerReference w:type="default" r:id="rId8"/>
          <w:headerReference w:type="first" r:id="rId9"/>
          <w:footerReference w:type="default" r:id="rId10"/>
          <w:footerReference w:type="first" r:id="rId11"/>
          <w:type w:val="nextPage"/>
          <w:pgSz w:w="12240" w:h="15840"/>
          <w:pgMar w:left="1008" w:right="1008" w:gutter="0" w:header="576" w:top="720" w:footer="576" w:bottom="72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p>
      <w:pPr>
        <w:pStyle w:val="Normal"/>
        <w:numPr>
          <w:ilvl w:val="0"/>
          <w:numId w:val="0"/>
        </w:numPr>
        <w:ind w:end="180"/>
        <w:jc w:val="center"/>
        <w:outlineLvl w:val="0"/>
        <w:rPr>
          <w:rFonts w:ascii="Times New Roman" w:hAnsi="Times New Roman" w:cs="Times New Roman"/>
          <w:b/>
          <w:sz w:val="22"/>
        </w:rPr>
      </w:pPr>
      <w:r>
        <w:rPr>
          <w:rFonts w:cs="Times New Roman" w:ascii="Times New Roman" w:hAnsi="Times New Roman"/>
          <w:b/>
          <w:sz w:val="22"/>
          <w:u w:val="single"/>
        </w:rPr>
        <w:t>EXHIBIT A</w:t>
      </w:r>
    </w:p>
    <w:p>
      <w:pPr>
        <w:pStyle w:val="Normal"/>
        <w:ind w:end="180"/>
        <w:jc w:val="center"/>
        <w:rPr>
          <w:rFonts w:ascii="Times New Roman" w:hAnsi="Times New Roman" w:cs="Times New Roman"/>
          <w:b/>
          <w:sz w:val="22"/>
        </w:rPr>
      </w:pPr>
      <w:r>
        <w:rPr>
          <w:rFonts w:cs="Times New Roman" w:ascii="Times New Roman" w:hAnsi="Times New Roman"/>
          <w:b/>
          <w:sz w:val="22"/>
        </w:rPr>
      </w:r>
    </w:p>
    <w:p>
      <w:pPr>
        <w:pStyle w:val="Normal"/>
        <w:numPr>
          <w:ilvl w:val="0"/>
          <w:numId w:val="0"/>
        </w:numPr>
        <w:ind w:end="180"/>
        <w:jc w:val="center"/>
        <w:outlineLvl w:val="0"/>
        <w:rPr>
          <w:rFonts w:ascii="Times New Roman" w:hAnsi="Times New Roman" w:cs="Times New Roman"/>
          <w:b/>
          <w:sz w:val="22"/>
        </w:rPr>
      </w:pPr>
      <w:r>
        <w:rPr>
          <w:rFonts w:cs="Times New Roman" w:ascii="Times New Roman" w:hAnsi="Times New Roman"/>
          <w:b/>
          <w:sz w:val="22"/>
        </w:rPr>
        <w:t>ENRON CORP.</w:t>
      </w:r>
    </w:p>
    <w:p>
      <w:pPr>
        <w:pStyle w:val="Normal"/>
        <w:spacing w:lineRule="exact" w:line="240"/>
        <w:ind w:end="180"/>
        <w:jc w:val="center"/>
        <w:rPr>
          <w:rFonts w:ascii="Times New Roman" w:hAnsi="Times New Roman" w:cs="Times New Roman"/>
          <w:b/>
          <w:sz w:val="22"/>
          <w:u w:val="single"/>
        </w:rPr>
      </w:pPr>
      <w:r>
        <w:rPr>
          <w:rFonts w:cs="Times New Roman" w:ascii="Times New Roman" w:hAnsi="Times New Roman"/>
          <w:b/>
          <w:sz w:val="22"/>
          <w:u w:val="single"/>
        </w:rPr>
      </w:r>
    </w:p>
    <w:p>
      <w:pPr>
        <w:pStyle w:val="Normal"/>
        <w:numPr>
          <w:ilvl w:val="0"/>
          <w:numId w:val="0"/>
        </w:numPr>
        <w:spacing w:lineRule="exact" w:line="240"/>
        <w:ind w:end="180"/>
        <w:jc w:val="center"/>
        <w:outlineLvl w:val="0"/>
        <w:rPr>
          <w:rFonts w:ascii="Times New Roman" w:hAnsi="Times New Roman" w:cs="Times New Roman"/>
          <w:sz w:val="22"/>
        </w:rPr>
      </w:pPr>
      <w:r>
        <w:rPr>
          <w:rFonts w:cs="Times New Roman" w:ascii="Times New Roman" w:hAnsi="Times New Roman"/>
          <w:sz w:val="22"/>
          <w:u w:val="single"/>
        </w:rPr>
        <w:t>Guaranty</w:t>
      </w:r>
    </w:p>
    <w:p>
      <w:pPr>
        <w:pStyle w:val="Normal"/>
        <w:spacing w:lineRule="exact" w:line="48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This Guaranty (the “Guaranty”), dated as of </w:t>
      </w:r>
      <w:r>
        <w:rPr>
          <w:rFonts w:cs="Times New Roman" w:ascii="Times New Roman" w:hAnsi="Times New Roman"/>
          <w:sz w:val="22"/>
          <w:u w:val="single"/>
        </w:rPr>
        <w:tab/>
        <w:tab/>
      </w:r>
      <w:r>
        <w:rPr>
          <w:rFonts w:cs="Times New Roman" w:ascii="Times New Roman" w:hAnsi="Times New Roman"/>
          <w:sz w:val="22"/>
        </w:rPr>
        <w:t xml:space="preserve">, 199__, is made and entered into by </w:t>
      </w:r>
      <w:r>
        <w:rPr>
          <w:rFonts w:cs="Times New Roman" w:ascii="Times New Roman" w:hAnsi="Times New Roman"/>
          <w:caps/>
          <w:sz w:val="22"/>
        </w:rPr>
        <w:t>Enron Corp.</w:t>
      </w:r>
      <w:r>
        <w:rPr>
          <w:rFonts w:cs="Times New Roman" w:ascii="Times New Roman" w:hAnsi="Times New Roman"/>
          <w:sz w:val="22"/>
        </w:rPr>
        <w:t>, an Oregon corporation (“Guarantor”).</w:t>
      </w:r>
    </w:p>
    <w:p>
      <w:pPr>
        <w:pStyle w:val="Normal"/>
        <w:keepNext w:val="true"/>
        <w:numPr>
          <w:ilvl w:val="0"/>
          <w:numId w:val="0"/>
        </w:numPr>
        <w:spacing w:lineRule="exact" w:line="240" w:before="480" w:after="0"/>
        <w:jc w:val="center"/>
        <w:outlineLvl w:val="0"/>
        <w:rPr>
          <w:rFonts w:ascii="Times New Roman" w:hAnsi="Times New Roman" w:cs="Times New Roman"/>
          <w:b/>
          <w:caps/>
          <w:sz w:val="22"/>
        </w:rPr>
      </w:pPr>
      <w:r>
        <w:rPr>
          <w:rFonts w:cs="Times New Roman" w:ascii="Times New Roman" w:hAnsi="Times New Roman"/>
          <w:b/>
          <w:caps/>
          <w:sz w:val="22"/>
        </w:rPr>
        <w:t>W I T N E S S E T H:</w:t>
      </w:r>
    </w:p>
    <w:p>
      <w:pPr>
        <w:pStyle w:val="Normal"/>
        <w:spacing w:lineRule="atLeast" w:line="240"/>
        <w:jc w:val="both"/>
        <w:rPr>
          <w:rFonts w:ascii="Times New Roman" w:hAnsi="Times New Roman" w:cs="Times New Roman"/>
          <w:b/>
          <w:caps/>
          <w:sz w:val="22"/>
        </w:rPr>
      </w:pPr>
      <w:r>
        <w:rPr>
          <w:rFonts w:cs="Times New Roman" w:ascii="Times New Roman" w:hAnsi="Times New Roman"/>
          <w:b/>
          <w:caps/>
          <w:sz w:val="22"/>
        </w:rPr>
      </w:r>
    </w:p>
    <w:p>
      <w:pPr>
        <w:pStyle w:val="Normal"/>
        <w:spacing w:lineRule="atLeast" w:line="240"/>
        <w:ind w:firstLine="720" w:end="0"/>
        <w:jc w:val="both"/>
        <w:rPr/>
      </w:pPr>
      <w:r>
        <w:rPr>
          <w:rFonts w:cs="Times New Roman" w:ascii="Times New Roman" w:hAnsi="Times New Roman"/>
          <w:sz w:val="22"/>
        </w:rPr>
        <w:t xml:space="preserve">WHEREAS, CON EDISON SOLUTIONS, INC., a </w:t>
      </w:r>
      <w:r>
        <w:rPr>
          <w:rFonts w:cs="Times New Roman" w:ascii="Times New Roman" w:hAnsi="Times New Roman"/>
          <w:sz w:val="22"/>
          <w:u w:val="single"/>
        </w:rPr>
        <w:tab/>
        <w:tab/>
        <w:tab/>
        <w:tab/>
      </w:r>
      <w:r>
        <w:rPr>
          <w:rFonts w:cs="Times New Roman" w:ascii="Times New Roman" w:hAnsi="Times New Roman"/>
          <w:sz w:val="22"/>
        </w:rPr>
        <w:t xml:space="preserve">corporation (“Counterparty”) and ENRON CAPITAL &amp; TRADE RESOURCES CORP. (“ECT”), a wholly owned direct subsidiary of Guarantor, are contemplating entering into a Master Agreement of even date herewith, a copy of which is attached hereto as </w:t>
      </w:r>
      <w:r>
        <w:rPr>
          <w:rFonts w:cs="Times New Roman" w:ascii="Times New Roman" w:hAnsi="Times New Roman"/>
          <w:sz w:val="22"/>
          <w:u w:val="single"/>
        </w:rPr>
        <w:t>Exhibit A</w:t>
      </w:r>
      <w:r>
        <w:rPr>
          <w:rFonts w:cs="Times New Roman" w:ascii="Times New Roman" w:hAnsi="Times New Roman"/>
          <w:sz w:val="22"/>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WHEREAS, Guarantor will directly or indirectly benefit from the transactions to be entered into between ECT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1.  </w:t>
      </w:r>
      <w:r>
        <w:rPr>
          <w:rFonts w:cs="Times New Roman" w:ascii="Times New Roman" w:hAnsi="Times New Roman"/>
          <w:sz w:val="22"/>
          <w:u w:val="single"/>
        </w:rPr>
        <w:t>GUARANTY</w:t>
      </w:r>
      <w:r>
        <w:rPr>
          <w:rFonts w:cs="Times New Roman" w:ascii="Times New Roman" w:hAnsi="Times New Roman"/>
          <w:sz w:val="22"/>
        </w:rPr>
        <w:t>.  Subject to the provisions hereof, (a) Guarantor hereby irrevocably and unconditionally guarantees the timely payment when due of the obligations of ECT (the “Obligations”) to Counterparty under the Contract, and (b) to the extent that ECT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(b)  The aggregate amount covered by this Guaranty shall not exceed U.S. $15,000,000.</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2.  </w:t>
      </w:r>
      <w:r>
        <w:rPr>
          <w:rFonts w:cs="Times New Roman" w:ascii="Times New Roman" w:hAnsi="Times New Roman"/>
          <w:sz w:val="22"/>
          <w:u w:val="single"/>
        </w:rPr>
        <w:t>DEMANDS AND NOTICE</w:t>
      </w:r>
      <w:r>
        <w:rPr>
          <w:rFonts w:cs="Times New Roman" w:ascii="Times New Roman" w:hAnsi="Times New Roman"/>
          <w:sz w:val="22"/>
        </w:rPr>
        <w:t>.  If ECT fails or refuses to pay any Obligations, Counterparty shall notify ECT in writing of the manner in which ECT has failed to pay and demand that payment be made by ECT.  If ECT’s failure or refusal to pay continues for a period of fifteen (15) days after the date of Counterparty’s notice to ECT,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spacing w:lineRule="atLeast" w:line="240"/>
        <w:ind w:firstLine="720" w:end="0"/>
        <w:jc w:val="both"/>
        <w:rPr/>
      </w:pPr>
      <w:r>
        <w:rPr>
          <w:rFonts w:cs="Times New Roman" w:ascii="Times New Roman" w:hAnsi="Times New Roman"/>
          <w:sz w:val="22"/>
        </w:rPr>
        <w:t xml:space="preserve">3.  </w:t>
      </w:r>
      <w:r>
        <w:rPr>
          <w:rFonts w:cs="Times New Roman" w:ascii="Times New Roman" w:hAnsi="Times New Roman"/>
          <w:sz w:val="22"/>
          <w:u w:val="single"/>
        </w:rPr>
        <w:t>REPRESENTATIONS AND WARRANTIES</w:t>
      </w:r>
      <w:r>
        <w:rPr>
          <w:rFonts w:cs="Times New Roman" w:ascii="Times New Roman" w:hAnsi="Times New Roman"/>
          <w:sz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rPr>
      </w:pPr>
      <w:r>
        <w:rPr>
          <w:rFonts w:cs="Times New Roman"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rPr>
      </w:pPr>
      <w:r>
        <w:rPr>
          <w:rFonts w:cs="Times New Roman"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4.  </w:t>
      </w:r>
      <w:r>
        <w:rPr>
          <w:rFonts w:cs="Times New Roman" w:ascii="Times New Roman" w:hAnsi="Times New Roman"/>
          <w:sz w:val="22"/>
          <w:u w:val="single"/>
        </w:rPr>
        <w:t>SETOFFS AND COUNTERCLAIMS</w:t>
      </w:r>
      <w:r>
        <w:rPr>
          <w:rFonts w:cs="Times New Roman" w:ascii="Times New Roman" w:hAnsi="Times New Roman"/>
          <w:sz w:val="22"/>
        </w:rPr>
        <w:t>.  Without limiting Guarantor’s own defenses and rights hereunder, Guarantor reserves to itself all rights, setoffs, counterclaims and other defenses to which ECT or any other affiliate of Guarantor is or may be entitled to arising from or out of the Contract or otherwise, except for defenses arising out of the bankruptcy, insolvency, dissolution or liquidation of ECT.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5.  </w:t>
      </w:r>
      <w:r>
        <w:rPr>
          <w:rFonts w:cs="Times New Roman" w:ascii="Times New Roman" w:hAnsi="Times New Roman"/>
          <w:sz w:val="22"/>
          <w:u w:val="single"/>
        </w:rPr>
        <w:t>AMENDMENT OF GUARANTY</w:t>
      </w:r>
      <w:r>
        <w:rPr>
          <w:rFonts w:cs="Times New Roman" w:ascii="Times New Roman" w:hAnsi="Times New Roman"/>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6.  </w:t>
      </w:r>
      <w:r>
        <w:rPr>
          <w:rFonts w:cs="Times New Roman" w:ascii="Times New Roman" w:hAnsi="Times New Roman"/>
          <w:sz w:val="22"/>
          <w:u w:val="single"/>
        </w:rPr>
        <w:t>WAIVERS</w:t>
      </w:r>
      <w:r>
        <w:rPr>
          <w:rFonts w:cs="Times New Roman"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ECT or any other person, or except as expressly hereinabove set forth, to require that Counterparty seek enforcement of any performance against ECT or any other person, prior to any action against Guarantor under the terms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7.  </w:t>
      </w:r>
      <w:r>
        <w:rPr>
          <w:rFonts w:cs="Times New Roman" w:ascii="Times New Roman" w:hAnsi="Times New Roman"/>
          <w:sz w:val="22"/>
          <w:u w:val="single"/>
        </w:rPr>
        <w:t>NOTICE</w:t>
      </w:r>
      <w:r>
        <w:rPr>
          <w:rFonts w:cs="Times New Roman"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t>To Counterparty:</w:t>
        <w:tab/>
        <w:t>Con Edison Solutions, Inc.</w:t>
      </w:r>
    </w:p>
    <w:p>
      <w:pPr>
        <w:pStyle w:val="Normal"/>
        <w:keepNext w:val="true"/>
        <w:tabs>
          <w:tab w:val="clear" w:pos="720"/>
          <w:tab w:val="left" w:pos="2880" w:leader="none"/>
          <w:tab w:val="left" w:pos="6480" w:leader="none"/>
        </w:tabs>
        <w:spacing w:lineRule="exact" w:line="240"/>
        <w:ind w:start="720" w:end="0"/>
        <w:jc w:val="both"/>
        <w:rPr>
          <w:rFonts w:ascii="Times New Roman" w:hAnsi="Times New Roman" w:cs="Times New Roman"/>
          <w:sz w:val="22"/>
        </w:rPr>
      </w:pPr>
      <w:r>
        <w:rPr>
          <w:rFonts w:cs="Times New Roman" w:ascii="Times New Roman" w:hAnsi="Times New Roman"/>
          <w:sz w:val="22"/>
        </w:rPr>
        <w:tab/>
        <w:t>701 Westchester Avenue, Suite 320 East</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White Plains, NY  10604</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Attn:  Joanne Chan</w:t>
      </w:r>
    </w:p>
    <w:p>
      <w:pPr>
        <w:pStyle w:val="Normal"/>
        <w:tabs>
          <w:tab w:val="clear" w:pos="720"/>
          <w:tab w:val="left" w:pos="6480" w:leader="none"/>
        </w:tabs>
        <w:spacing w:lineRule="exact" w:line="240"/>
        <w:ind w:start="2880" w:end="0"/>
        <w:jc w:val="both"/>
        <w:rPr>
          <w:rFonts w:ascii="Times New Roman" w:hAnsi="Times New Roman" w:cs="Times New Roman"/>
          <w:sz w:val="22"/>
        </w:rPr>
      </w:pPr>
      <w:r>
        <w:rPr>
          <w:rFonts w:cs="Times New Roman" w:ascii="Times New Roman" w:hAnsi="Times New Roman"/>
          <w:sz w:val="22"/>
        </w:rPr>
        <w:t xml:space="preserve">Fax No.:  </w:t>
      </w:r>
      <w:r>
        <w:rPr>
          <w:rFonts w:cs="Times New Roman" w:ascii="Times New Roman" w:hAnsi="Times New Roman"/>
          <w:sz w:val="22"/>
          <w:u w:val="single"/>
        </w:rPr>
        <w:tab/>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spacing w:lineRule="exact" w:line="240" w:before="240" w:after="0"/>
        <w:ind w:start="720" w:end="0"/>
        <w:jc w:val="both"/>
        <w:rPr>
          <w:rFonts w:ascii="Times New Roman" w:hAnsi="Times New Roman" w:cs="Times New Roman"/>
          <w:sz w:val="22"/>
        </w:rPr>
      </w:pPr>
      <w:r>
        <w:rPr>
          <w:rFonts w:cs="Times New Roman" w:ascii="Times New Roman" w:hAnsi="Times New Roman"/>
          <w:sz w:val="22"/>
        </w:rPr>
        <w:t>To Guarantor:</w:t>
        <w:tab/>
        <w:t>Enron Corp.</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1400 Smith Street</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Houston, Texas  77002</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Attn: Vice President, Finance</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ab/>
        <w:t>and Treasurer</w:t>
      </w:r>
    </w:p>
    <w:p>
      <w:pPr>
        <w:pStyle w:val="Normal"/>
        <w:spacing w:lineRule="exact" w:line="240"/>
        <w:ind w:start="2880" w:end="0"/>
        <w:jc w:val="both"/>
        <w:rPr>
          <w:rFonts w:ascii="Times New Roman" w:hAnsi="Times New Roman" w:cs="Times New Roman"/>
          <w:sz w:val="22"/>
        </w:rPr>
      </w:pPr>
      <w:r>
        <w:rPr>
          <w:rFonts w:cs="Times New Roman" w:ascii="Times New Roman" w:hAnsi="Times New Roman"/>
          <w:sz w:val="22"/>
        </w:rPr>
        <w:t>Fax No.:  (713) 646-3422</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rFonts w:ascii="Times New Roman" w:hAnsi="Times New Roman" w:cs="Times New Roman"/>
          <w:sz w:val="22"/>
        </w:rPr>
      </w:pPr>
      <w:r>
        <w:rPr>
          <w:rFonts w:cs="Times New Roman" w:ascii="Times New Roman" w:hAnsi="Times New Roman"/>
          <w:sz w:val="22"/>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8.  </w:t>
      </w:r>
      <w:r>
        <w:rPr>
          <w:rFonts w:cs="Times New Roman" w:ascii="Times New Roman" w:hAnsi="Times New Roman"/>
          <w:sz w:val="22"/>
          <w:u w:val="single"/>
        </w:rPr>
        <w:t>MISCELLANEOUS</w:t>
      </w:r>
      <w:r>
        <w:rPr>
          <w:rFonts w:cs="Times New Roman" w:ascii="Times New Roman" w:hAnsi="Times New Roman"/>
          <w:sz w:val="22"/>
        </w:rPr>
        <w:t xml:space="preserve">.  </w:t>
      </w:r>
      <w:r>
        <w:rPr>
          <w:rFonts w:cs="Times New Roman" w:ascii="Times New Roman" w:hAnsi="Times New Roman"/>
          <w:b/>
          <w:sz w:val="22"/>
        </w:rPr>
        <w:t>THIS GUARANTY SHALL IN ALL RESPECTS BE GOVERNED BY, AND CONSTRUED IN ACCORDANCE WITH, THE LAW OF THE STATE OF TEXAS, WITHOUT REGARD TO PRINCIPLES OF CONFLICTS OF LAWS.</w:t>
      </w:r>
      <w:r>
        <w:rPr>
          <w:rFonts w:cs="Times New Roman" w:ascii="Times New Roman" w:hAnsi="Times New Roman"/>
          <w:sz w:val="22"/>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spacing w:lineRule="atLeast" w:line="240"/>
        <w:ind w:firstLine="720" w:end="0"/>
        <w:jc w:val="both"/>
        <w:rPr/>
      </w:pPr>
      <w:r>
        <w:rPr>
          <w:rFonts w:cs="Times New Roman" w:ascii="Times New Roman" w:hAnsi="Times New Roman"/>
          <w:sz w:val="22"/>
        </w:rPr>
        <w:t xml:space="preserve">IN WITNESS WHEREOF, the Guarantor has executed this Guaranty on </w:t>
        <w:tab/>
      </w:r>
      <w:r>
        <w:rPr>
          <w:rFonts w:cs="Times New Roman" w:ascii="Times New Roman" w:hAnsi="Times New Roman"/>
          <w:sz w:val="22"/>
          <w:u w:val="single"/>
        </w:rPr>
        <w:tab/>
      </w:r>
      <w:r>
        <w:rPr>
          <w:rFonts w:cs="Times New Roman" w:ascii="Times New Roman" w:hAnsi="Times New Roman"/>
          <w:sz w:val="22"/>
        </w:rPr>
        <w:t>, 199_, but it is effective as of the date first above written.</w:t>
      </w:r>
    </w:p>
    <w:p>
      <w:pPr>
        <w:pStyle w:val="Normal"/>
        <w:spacing w:lineRule="atLeast" w:line="240"/>
        <w:ind w:firstLine="720" w:end="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spacing w:lineRule="atLeast" w:line="240"/>
        <w:ind w:start="5040" w:end="0"/>
        <w:jc w:val="both"/>
        <w:outlineLvl w:val="0"/>
        <w:rPr>
          <w:rFonts w:ascii="Times New Roman" w:hAnsi="Times New Roman" w:cs="Times New Roman"/>
          <w:b/>
          <w:sz w:val="22"/>
        </w:rPr>
      </w:pPr>
      <w:r>
        <w:rPr>
          <w:rFonts w:cs="Times New Roman" w:ascii="Times New Roman" w:hAnsi="Times New Roman"/>
          <w:b/>
          <w:sz w:val="22"/>
        </w:rPr>
        <w:t>ENRON CORP.</w:t>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b/>
          <w:sz w:val="22"/>
        </w:rPr>
      </w:pPr>
      <w:r>
        <w:rPr>
          <w:rFonts w:cs="Times New Roman" w:ascii="Times New Roman" w:hAnsi="Times New Roman"/>
          <w:b/>
          <w:sz w:val="22"/>
        </w:rPr>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tab/>
        <w:tab/>
        <w:tab/>
        <w:tab/>
        <w:tab/>
      </w:r>
    </w:p>
    <w:p>
      <w:pPr>
        <w:pStyle w:val="Normal"/>
        <w:spacing w:lineRule="atLeast" w:line="240"/>
        <w:ind w:start="5040" w:end="0"/>
        <w:jc w:val="both"/>
        <w:rPr>
          <w:rFonts w:ascii="Times New Roman" w:hAnsi="Times New Roman" w:cs="Times New Roman"/>
          <w:sz w:val="22"/>
        </w:rPr>
      </w:pPr>
      <w:r>
        <w:rPr>
          <w:rFonts w:cs="Times New Roman" w:ascii="Times New Roman" w:hAnsi="Times New Roman"/>
          <w:sz w:val="22"/>
        </w:rPr>
        <w:t xml:space="preserve">Title:  </w:t>
      </w:r>
      <w:r>
        <w:rPr>
          <w:rFonts w:cs="Times New Roman" w:ascii="Times New Roman" w:hAnsi="Times New Roman"/>
          <w:sz w:val="22"/>
          <w:u w:val="single"/>
        </w:rPr>
        <w:tab/>
        <w:tab/>
        <w:tab/>
        <w:tab/>
        <w:tab/>
        <w:tab/>
      </w:r>
    </w:p>
    <w:p>
      <w:pPr>
        <w:pStyle w:val="Index1"/>
        <w:rPr>
          <w:rFonts w:ascii="Times New Roman" w:hAnsi="Times New Roman" w:cs="Times New Roman"/>
          <w:sz w:val="22"/>
        </w:rPr>
      </w:pPr>
      <w:r>
        <w:rPr>
          <w:rFonts w:cs="Times New Roman" w:ascii="Times New Roman" w:hAnsi="Times New Roman"/>
          <w:sz w:val="22"/>
        </w:rPr>
      </w:r>
    </w:p>
    <w:sectPr>
      <w:headerReference w:type="default" r:id="rId12"/>
      <w:headerReference w:type="first" r:id="rId13"/>
      <w:footerReference w:type="default" r:id="rId14"/>
      <w:footerReference w:type="first" r:id="rId15"/>
      <w:type w:val="nextPage"/>
      <w:pgSz w:w="12240" w:h="15840"/>
      <w:pgMar w:left="1440" w:right="1440"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/mnt/main-storage/datasets/enron-docs/doc/008ctr.doc</w:t>
    </w:r>
    <w:r>
      <w:rPr>
        <w:sz w:val="12"/>
        <w:rFonts w:cs="Times New Roman" w:ascii="Times New Roman" w:hAnsi="Times New Roman"/>
      </w:rPr>
      <w:fldChar w:fldCharType="end"/>
    </w:r>
  </w:p>
  <w:p>
    <w:pPr>
      <w:pStyle w:val="Footer"/>
      <w:jc w:val="center"/>
      <w:rPr/>
    </w:pPr>
    <w:r>
      <w:rPr>
        <w:rStyle w:val="PageNumbe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/mnt/main-storage/datasets/enron-docs/doc/008ctr.doc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t>Annex A</w:t>
    </w:r>
  </w:p>
  <w:p>
    <w:pPr>
      <w:pStyle w:val="Footer"/>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7</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/mnt/main-storage/datasets/enron-docs/doc/008ctr.doc</w:t>
    </w:r>
    <w:r>
      <w:rPr>
        <w:sz w:val="12"/>
        <w:rFonts w:cs="Times New Roman" w:ascii="Times New Roman" w:hAnsi="Times New Roman"/>
      </w:rPr>
      <w:fldChar w:fldCharType="end"/>
    </w:r>
  </w:p>
  <w:p>
    <w:pPr>
      <w:pStyle w:val="Normal"/>
      <w:jc w:val="center"/>
      <w:rPr>
        <w:rFonts w:ascii="Times New Roman" w:hAnsi="Times New Roman" w:cs="Times New Roman"/>
      </w:rPr>
    </w:pPr>
    <w:r>
      <w:rPr>
        <w:rFonts w:cs="Times New Roman" w:ascii="Times New Roman" w:hAnsi="Times New Roman"/>
      </w:rPr>
      <w:t>EXHIBIT A</w:t>
    </w:r>
  </w:p>
  <w:p>
    <w:pPr>
      <w:pStyle w:val="Expanded"/>
      <w:spacing w:before="0" w:after="0"/>
      <w:rPr>
        <w:rFonts w:ascii="Times New Roman" w:hAnsi="Times New Roman" w:cs="Times New Roman"/>
        <w:b w:val="false"/>
        <w:caps w:val="false"/>
        <w:smallCaps w:val="false"/>
        <w:spacing w:val="0"/>
        <w:sz w:val="20"/>
      </w:rPr>
    </w:pPr>
    <w:r>
      <w:rPr>
        <w:rFonts w:cs="Times New Roman" w:ascii="Times New Roman" w:hAnsi="Times New Roman"/>
        <w:b w:val="false"/>
        <w:caps w:val="false"/>
        <w:smallCaps w:val="false"/>
        <w:spacing w:val="0"/>
        <w:sz w:val="20"/>
      </w:rPr>
      <w:t>to Paragraph 13</w:t>
    </w:r>
  </w:p>
  <w:p>
    <w:pPr>
      <w:pStyle w:val="Normal"/>
      <w:jc w:val="center"/>
      <w:rPr>
        <w:rFonts w:ascii="Times New Roman" w:hAnsi="Times New Roman" w:cs="Times New Roman"/>
      </w:rPr>
    </w:pPr>
    <w:r>
      <w:rPr>
        <w:rFonts w:cs="Times New Roman" w:ascii="Times New Roman" w:hAnsi="Times New Roman"/>
      </w:rPr>
      <w:t>of Annex A</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/mnt/main-storage/datasets/enron-docs/doc/008ctr.doc</w:t>
    </w:r>
    <w:r>
      <w:rPr>
        <w:sz w:val="12"/>
        <w:rFonts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/mnt/main-storage/datasets/enron-docs/doc/008ctr.doc</w:t>
    </w:r>
    <w:r>
      <w:rPr>
        <w:sz w:val="12"/>
        <w:rFonts w:cs="Times New Roman" w:ascii="Times New Roman" w:hAnsi="Times New Roman"/>
      </w:rPr>
      <w:fldChar w:fldCharType="end"/>
    </w:r>
  </w:p>
  <w:p>
    <w:pPr>
      <w:pStyle w:val="Normal"/>
      <w:tabs>
        <w:tab w:val="clear" w:pos="720"/>
        <w:tab w:val="center" w:pos="4680" w:leader="none"/>
        <w:tab w:val="right" w:pos="9360" w:leader="none"/>
      </w:tabs>
      <w:spacing w:lineRule="exact" w:line="240"/>
      <w:ind w:end="-1440"/>
      <w:jc w:val="center"/>
      <w:rPr/>
    </w:pPr>
    <w:r>
      <w:rPr/>
      <w:t>Exhibit A</w:t>
    </w:r>
  </w:p>
  <w:p>
    <w:pPr>
      <w:pStyle w:val="Normal"/>
      <w:tabs>
        <w:tab w:val="clear" w:pos="720"/>
        <w:tab w:val="center" w:pos="4680" w:leader="none"/>
        <w:tab w:val="right" w:pos="9360" w:leader="none"/>
      </w:tabs>
      <w:spacing w:lineRule="exact" w:line="240"/>
      <w:ind w:end="-144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widowControl w:val="false"/>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val="false"/>
      <w:spacing w:lineRule="exact" w:line="240"/>
      <w:ind w:hanging="0" w:start="720" w:end="0"/>
      <w:jc w:val="both"/>
    </w:pPr>
    <w:rPr>
      <w:rFonts w:ascii="Times New Roman" w:hAnsi="Times New Roman" w:cs="Times New Roman"/>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1999-05-26T16:19:00Z</dcterms:created>
  <dc:creator>jdobern</dc:creator>
  <dc:description>10/14/93</dc:description>
  <dc:language>en-CA</dc:language>
  <cp:lastModifiedBy>sbailey2</cp:lastModifiedBy>
  <cp:lastPrinted>1999-06-03T10:04:00Z</cp:lastPrinted>
  <dcterms:modified xsi:type="dcterms:W3CDTF">1999-06-03T12:36:00Z</dcterms:modified>
  <cp:revision>27</cp:revision>
  <dc:subject>2nd Draft 8/10/93rmj</dc:subject>
  <dc:title>SCHEDULE TO THE MASTER AGREEMENT</dc:title>
</cp:coreProperties>
</file>