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Normal"/>
        <w:jc w:val="center"/>
        <w:rPr>
          <w:rFonts w:ascii="Arial Narrow" w:hAnsi="Arial Narrow" w:cs="Arial Narrow"/>
          <w:b/>
        </w:rPr>
      </w:pPr>
      <w:r>
        <w:rPr>
          <w:rFonts w:cs="Arial Narrow" w:ascii="Arial Narrow" w:hAnsi="Arial Narrow"/>
          <w:b/>
        </w:rPr>
        <w:t>INERGY PARTNERS, LLC</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as follows: </w:t>
      </w:r>
    </w:p>
    <w:p>
      <w:pPr>
        <w:pStyle w:val="Normal"/>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rFonts w:cs="Arial Narrow" w:ascii="Arial Narrow" w:hAnsi="Arial Narrow"/>
          <w:sz w:val="18"/>
        </w:rPr>
        <w:t>(i)</w:t>
        <w:tab/>
        <w:t xml:space="preserve">The following Events of Default are added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ind w:hanging="360" w:start="1080" w:end="0"/>
        <w:jc w:val="both"/>
        <w:rPr>
          <w:rFonts w:ascii="Arial Narrow" w:hAnsi="Arial Narrow" w:cs="Arial Narrow"/>
          <w:sz w:val="18"/>
        </w:rPr>
      </w:pPr>
      <w:r>
        <w:rPr>
          <w:rFonts w:cs="Arial Narrow" w:ascii="Arial Narrow" w:hAnsi="Arial Narrow"/>
          <w:sz w:val="18"/>
        </w:rPr>
        <w:t>"(g)</w:t>
        <w:tab/>
        <w:t>Counterparty fails to establish, maintain, renew, substitute or increase the Performance Assurance in accordance with the terms and provisions hereof and the failure continues for two (2) Business Days after notice from ENA;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BodyTextIndent3"/>
        <w:rPr/>
      </w:pPr>
      <w:r>
        <w:rPr/>
        <w:t>(h)</w:t>
        <w:tab/>
        <w:t>the failure in the payment when due (whether at maturity, by acceleration, or otherwise) of any obligation in respect of borrowed money, in an aggregate amount in excess of $1,000,000 with respect to Counterparty, and the failure to remedy the failure within any applicable grace period, or the failure by Counterparty or Counterparty’s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obligations (or a trustee or agent on behalf of such holder(s)) to declare such obligation, due prior to its expressed maturity."</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2.</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rFonts w:ascii="Arial Narrow" w:hAnsi="Arial Narrow" w:cs="Arial Narrow"/>
          <w:b/>
          <w:sz w:val="18"/>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shall establish, maintain, renew, substitute and increase Performance Assurance as (and only to the extent) required by Annex B-1."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3.</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ind w:start="360" w:end="0"/>
        <w:jc w:val="both"/>
        <w:rPr/>
      </w:pPr>
      <w:r>
        <w:rPr>
          <w:rFonts w:cs="Arial Narrow" w:ascii="Arial Narrow" w:hAnsi="Arial Narrow"/>
          <w:sz w:val="18"/>
        </w:rPr>
        <w:t>“</w:t>
      </w:r>
      <w:r>
        <w:rPr>
          <w:rFonts w:cs="Arial Narrow" w:ascii="Arial Narrow" w:hAnsi="Arial Narrow"/>
          <w:sz w:val="18"/>
        </w:rPr>
        <w:t>Counterparty shall deliver to ENA (i) as soon as available and in any event within 120 days after the end of its fiscal year a copy of its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(ii) as soon as available and in any event within sixty (60) days after the end of each of its first three fiscal quarters of each fiscal year, copies of its quarterly reports containing unaudited consolidated financial statements for such fiscal quarter prepared in accordance with GAAP, and (iii) such other publicly available financial information as ENA may reasonably request.”</w:t>
      </w:r>
    </w:p>
    <w:p>
      <w:pPr>
        <w:pStyle w:val="Normal"/>
        <w:jc w:val="center"/>
        <w:rPr>
          <w:rFonts w:ascii="Arial Narrow" w:hAnsi="Arial Narrow" w:cs="Arial Narrow"/>
          <w:b/>
          <w:sz w:val="18"/>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i/>
          <w:sz w:val="18"/>
        </w:rPr>
        <w:tab/>
      </w:r>
      <w:r>
        <w:rPr>
          <w:rFonts w:cs="Arial Narrow" w:ascii="Arial Narrow" w:hAnsi="Arial Narrow"/>
          <w:sz w:val="18"/>
        </w:rPr>
        <w:t>(a)</w:t>
        <w:tab/>
      </w: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numPr>
          <w:ilvl w:val="0"/>
          <w:numId w:val="2"/>
        </w:numPr>
        <w:tabs>
          <w:tab w:val="left" w:pos="720" w:leader="none"/>
        </w:tabs>
        <w:jc w:val="both"/>
        <w:rPr>
          <w:rFonts w:ascii="Arial Narrow" w:hAnsi="Arial Narrow" w:cs="Arial Narrow"/>
          <w:sz w:val="18"/>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numPr>
          <w:ilvl w:val="0"/>
          <w:numId w:val="2"/>
        </w:numPr>
        <w:tabs>
          <w:tab w:val="left" w:pos="720" w:leader="none"/>
        </w:tabs>
        <w:jc w:val="both"/>
        <w:rPr>
          <w:rFonts w:ascii="Arial Narrow" w:hAnsi="Arial Narrow" w:cs="Arial Narrow"/>
          <w:sz w:val="18"/>
        </w:rPr>
      </w:pPr>
      <w:r>
        <w:rPr>
          <w:rFonts w:cs="Arial Narrow" w:ascii="Arial Narrow" w:hAnsi="Arial Narrow"/>
          <w:sz w:val="18"/>
        </w:rPr>
        <w:t xml:space="preserve">The </w:t>
      </w:r>
      <w:r>
        <w:rPr>
          <w:rFonts w:cs="Arial Narrow" w:ascii="Arial Narrow" w:hAnsi="Arial Narrow"/>
          <w:i/>
          <w:sz w:val="18"/>
        </w:rPr>
        <w:t>"</w:t>
      </w:r>
      <w:r>
        <w:rPr>
          <w:rFonts w:cs="Arial Narrow" w:ascii="Arial Narrow" w:hAnsi="Arial Narrow"/>
          <w:i/>
          <w:sz w:val="18"/>
          <w:u w:val="single"/>
        </w:rPr>
        <w:t>Collateral Requirement</w:t>
      </w:r>
      <w:r>
        <w:rPr>
          <w:rFonts w:cs="Arial Narrow" w:ascii="Arial Narrow" w:hAnsi="Arial Narrow"/>
          <w:i/>
          <w:sz w:val="18"/>
        </w:rPr>
        <w:t>"</w:t>
      </w:r>
      <w:r>
        <w:rPr>
          <w:rFonts w:cs="Arial Narrow" w:ascii="Arial Narrow" w:hAnsi="Arial Narrow"/>
          <w:sz w:val="18"/>
        </w:rPr>
        <w:t xml:space="preserve"> shall mean, with respect to Counterparty, the excess, if any, of (i) (x) ENA's Net Exposure plus (y) the aggregate of all Additional Amounts applicable to the Counterparty minus (ii) Counterparty's Exposure Threshold plus the sum of (x) the Valuation Percentage times the remaining, undrawn portion of any outstanding Letter of Credit maintained by Counterparty and issued for the benefit of ENA in connection with the Swaps; (y) any Cash previously delivered to ENA and not returned pursuant to Section 2(b) of this Annex and any Interest Amount that has not been delivered to Counterparty; and (z) any Cash held by ENA pursuant to Section 4(d)(ii) of this Annex.</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numPr>
          <w:ilvl w:val="0"/>
          <w:numId w:val="2"/>
        </w:numPr>
        <w:tabs>
          <w:tab w:val="left" w:pos="720" w:leader="none"/>
        </w:tabs>
        <w:jc w:val="both"/>
        <w:rPr>
          <w:rFonts w:ascii="Arial Narrow" w:hAnsi="Arial Narrow" w:cs="Arial Narrow"/>
          <w:sz w:val="18"/>
        </w:rPr>
      </w:pPr>
      <w:r>
        <w:rPr>
          <w:rFonts w:cs="Arial Narrow" w:ascii="Arial Narrow" w:hAnsi="Arial Narrow"/>
          <w:sz w:val="18"/>
        </w:rPr>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(e)</w:t>
        <w:tab/>
        <w:t xml:space="preserve">The </w:t>
      </w:r>
      <w:r>
        <w:rPr>
          <w:rFonts w:cs="Arial Narrow" w:ascii="Arial Narrow" w:hAnsi="Arial Narrow"/>
          <w:i/>
          <w:sz w:val="18"/>
        </w:rPr>
        <w:t>"</w:t>
      </w:r>
      <w:r>
        <w:rPr>
          <w:rFonts w:cs="Arial Narrow" w:ascii="Arial Narrow" w:hAnsi="Arial Narrow"/>
          <w:i/>
          <w:sz w:val="18"/>
          <w:u w:val="single"/>
        </w:rPr>
        <w:t>Current Value</w:t>
      </w:r>
      <w:r>
        <w:rPr>
          <w:rFonts w:cs="Arial Narrow" w:ascii="Arial Narrow" w:hAnsi="Arial Narrow"/>
          <w:i/>
          <w:sz w:val="18"/>
        </w:rPr>
        <w:t>"</w:t>
      </w:r>
      <w:r>
        <w:rPr>
          <w:rFonts w:cs="Arial Narrow" w:ascii="Arial Narrow" w:hAnsi="Arial Narrow"/>
          <w:sz w:val="18"/>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(f)</w:t>
        <w:tab/>
      </w:r>
      <w:r>
        <w:rPr>
          <w:rFonts w:cs="Arial Narrow" w:ascii="Arial Narrow" w:hAnsi="Arial Narrow"/>
          <w:i/>
          <w:sz w:val="18"/>
        </w:rPr>
        <w:t>"</w:t>
      </w:r>
      <w:r>
        <w:rPr>
          <w:rFonts w:cs="Arial Narrow" w:ascii="Arial Narrow" w:hAnsi="Arial Narrow"/>
          <w:i/>
          <w:sz w:val="18"/>
          <w:u w:val="single"/>
        </w:rPr>
        <w:t>Exposure</w:t>
      </w:r>
      <w:r>
        <w:rPr>
          <w:rFonts w:cs="Arial Narrow" w:ascii="Arial Narrow" w:hAnsi="Arial Narrow"/>
          <w:i/>
          <w:sz w:val="18"/>
        </w:rPr>
        <w:t>"</w:t>
      </w:r>
      <w:r>
        <w:rPr>
          <w:rFonts w:cs="Arial Narrow" w:ascii="Arial Narrow" w:hAnsi="Arial Narrow"/>
          <w:sz w:val="18"/>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rFonts w:cs="Arial Narrow" w:ascii="Arial Narrow" w:hAnsi="Arial Narrow"/>
          <w:sz w:val="18"/>
        </w:rPr>
        <w:t>(g)</w:t>
        <w:tab/>
      </w:r>
      <w:r>
        <w:rPr>
          <w:rFonts w:cs="Arial Narrow" w:ascii="Arial Narrow" w:hAnsi="Arial Narrow"/>
          <w:i/>
          <w:sz w:val="18"/>
        </w:rPr>
        <w:t>"</w:t>
      </w:r>
      <w:r>
        <w:rPr>
          <w:rFonts w:cs="Arial Narrow" w:ascii="Arial Narrow" w:hAnsi="Arial Narrow"/>
          <w:i/>
          <w:sz w:val="18"/>
          <w:u w:val="single"/>
        </w:rPr>
        <w:t>Exposure Threshold</w:t>
      </w:r>
      <w:r>
        <w:rPr>
          <w:rFonts w:cs="Arial Narrow" w:ascii="Arial Narrow" w:hAnsi="Arial Narrow"/>
          <w:i/>
          <w:sz w:val="18"/>
        </w:rPr>
        <w:t>"</w:t>
      </w:r>
      <w:r>
        <w:rPr>
          <w:rFonts w:cs="Arial Narrow" w:ascii="Arial Narrow" w:hAnsi="Arial Narrow"/>
          <w:sz w:val="18"/>
        </w:rPr>
        <w:t xml:space="preserve"> shall mean, with respect to Counterparty, $0.  The Exposure Threshold assigned to Counterparty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(h)</w:t>
        <w:tab/>
      </w:r>
      <w:r>
        <w:rPr>
          <w:rFonts w:cs="Arial Narrow" w:ascii="Arial Narrow" w:hAnsi="Arial Narrow"/>
          <w:i/>
          <w:sz w:val="18"/>
        </w:rPr>
        <w:t>"</w:t>
      </w:r>
      <w:r>
        <w:rPr>
          <w:rFonts w:cs="Arial Narrow" w:ascii="Arial Narrow" w:hAnsi="Arial Narrow"/>
          <w:i/>
          <w:sz w:val="18"/>
          <w:u w:val="single"/>
        </w:rPr>
        <w:t>Exposure Amount</w:t>
      </w:r>
      <w:r>
        <w:rPr>
          <w:rFonts w:cs="Arial Narrow" w:ascii="Arial Narrow" w:hAnsi="Arial Narrow"/>
          <w:i/>
          <w:sz w:val="18"/>
        </w:rPr>
        <w:t>"</w:t>
      </w:r>
      <w:r>
        <w:rPr>
          <w:rFonts w:cs="Arial Narrow" w:ascii="Arial Narrow" w:hAnsi="Arial Narrow"/>
          <w:sz w:val="18"/>
        </w:rPr>
        <w:t xml:space="preserve"> for each party shall be calculated for all Swaps by calculating each party's Exposure to the other party in respect of all Swaps.  The party having the greater Exposure Amount at any time (the </w:t>
      </w:r>
      <w:r>
        <w:rPr>
          <w:rFonts w:cs="Arial Narrow" w:ascii="Arial Narrow" w:hAnsi="Arial Narrow"/>
          <w:i/>
          <w:sz w:val="18"/>
        </w:rPr>
        <w:t>"</w:t>
      </w:r>
      <w:r>
        <w:rPr>
          <w:rFonts w:cs="Arial Narrow" w:ascii="Arial Narrow" w:hAnsi="Arial Narrow"/>
          <w:i/>
          <w:sz w:val="18"/>
          <w:u w:val="single"/>
        </w:rPr>
        <w:t>Exposed Party</w:t>
      </w:r>
      <w:r>
        <w:rPr>
          <w:rFonts w:cs="Arial Narrow" w:ascii="Arial Narrow" w:hAnsi="Arial Narrow"/>
          <w:i/>
          <w:sz w:val="18"/>
        </w:rPr>
        <w:t>"</w:t>
      </w:r>
      <w:r>
        <w:rPr>
          <w:rFonts w:cs="Arial Narrow" w:ascii="Arial Narrow" w:hAnsi="Arial Narrow"/>
          <w:sz w:val="18"/>
        </w:rPr>
        <w:t xml:space="preserve">) shall be deemed to have a "Net Exposure" to the other party (the </w:t>
      </w:r>
      <w:r>
        <w:rPr>
          <w:rFonts w:cs="Arial Narrow" w:ascii="Arial Narrow" w:hAnsi="Arial Narrow"/>
          <w:i/>
          <w:sz w:val="18"/>
        </w:rPr>
        <w:t>"</w:t>
      </w:r>
      <w:r>
        <w:rPr>
          <w:rFonts w:cs="Arial Narrow" w:ascii="Arial Narrow" w:hAnsi="Arial Narrow"/>
          <w:i/>
          <w:sz w:val="18"/>
          <w:u w:val="single"/>
        </w:rPr>
        <w:t>Non-Exposed Party</w:t>
      </w:r>
      <w:r>
        <w:rPr>
          <w:rFonts w:cs="Arial Narrow" w:ascii="Arial Narrow" w:hAnsi="Arial Narrow"/>
          <w:i/>
          <w:sz w:val="18"/>
        </w:rPr>
        <w:t>"</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(i)</w:t>
        <w:tab/>
        <w:t>"</w:t>
      </w:r>
      <w:r>
        <w:rPr>
          <w:rFonts w:cs="Arial Narrow" w:ascii="Arial Narrow" w:hAnsi="Arial Narrow"/>
          <w:i/>
          <w:sz w:val="18"/>
          <w:u w:val="single"/>
        </w:rPr>
        <w:t>Interest Amount</w:t>
      </w:r>
      <w:r>
        <w:rPr>
          <w:rFonts w:cs="Arial Narrow" w:ascii="Arial Narrow" w:hAnsi="Arial Narrow"/>
          <w:sz w:val="18"/>
        </w:rPr>
        <w:t>" shall mean with respect to an "Interest Period" (as defined herein), the aggregate sum of the amounts of interest calculated for each day in that Interest Period on the principal amount of Cash held by ENA on that day, determined by ENA for each such day as follows: (x) the amount of Cash held by ENA on that day; multiplied by (y) the Interest Rate (as defined herein) for that day: divided by (z) 360.  "</w:t>
      </w:r>
      <w:r>
        <w:rPr>
          <w:rFonts w:cs="Arial Narrow" w:ascii="Arial Narrow" w:hAnsi="Arial Narrow"/>
          <w:i/>
          <w:sz w:val="18"/>
          <w:u w:val="single"/>
        </w:rPr>
        <w:t>Interest Period</w:t>
      </w:r>
      <w:r>
        <w:rPr>
          <w:rFonts w:cs="Arial Narrow" w:ascii="Arial Narrow" w:hAnsi="Arial Narrow"/>
          <w:sz w:val="18"/>
        </w:rPr>
        <w:t>" means the period from (and including) the last Business Day on which an Interest Amount was Transferred (or if no Interest Amount has yet been Transferred, the Business Day on which Cash was Transferred to ENA) to (but excluding) the Business Day on which the current Interest Amount is to be Transferred.  "</w:t>
      </w:r>
      <w:r>
        <w:rPr>
          <w:rFonts w:cs="Arial Narrow" w:ascii="Arial Narrow" w:hAnsi="Arial Narrow"/>
          <w:i/>
          <w:sz w:val="18"/>
          <w:u w:val="single"/>
        </w:rPr>
        <w:t>Interest Rate</w:t>
      </w:r>
      <w:r>
        <w:rPr>
          <w:rFonts w:cs="Arial Narrow" w:ascii="Arial Narrow" w:hAnsi="Arial Narrow"/>
          <w:sz w:val="18"/>
        </w:rPr>
        <w:t>" shall be the Federal Funds Overnight Rate as from time to time in effect.  "</w:t>
      </w:r>
      <w:r>
        <w:rPr>
          <w:rFonts w:cs="Arial Narrow" w:ascii="Arial Narrow" w:hAnsi="Arial Narrow"/>
          <w:i/>
          <w:sz w:val="18"/>
          <w:u w:val="single"/>
        </w:rPr>
        <w:t>Federal Funds Overnight Rate</w:t>
      </w:r>
      <w:r>
        <w:rPr>
          <w:rFonts w:cs="Arial Narrow" w:ascii="Arial Narrow" w:hAnsi="Arial Narrow"/>
          <w:sz w:val="18"/>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(j)</w:t>
        <w:tab/>
      </w:r>
      <w:r>
        <w:rPr>
          <w:rFonts w:cs="Arial Narrow" w:ascii="Arial Narrow" w:hAnsi="Arial Narrow"/>
          <w:i/>
          <w:sz w:val="18"/>
        </w:rPr>
        <w:t>"</w:t>
      </w:r>
      <w:r>
        <w:rPr>
          <w:rFonts w:cs="Arial Narrow" w:ascii="Arial Narrow" w:hAnsi="Arial Narrow"/>
          <w:i/>
          <w:iCs/>
          <w:sz w:val="18"/>
          <w:u w:val="single"/>
        </w:rPr>
        <w:t>Issuer</w:t>
      </w:r>
      <w:r>
        <w:rPr>
          <w:rFonts w:cs="Arial Narrow" w:ascii="Arial Narrow" w:hAnsi="Arial Narrow"/>
          <w:i/>
          <w:sz w:val="18"/>
        </w:rPr>
        <w:t>"</w:t>
      </w:r>
      <w:r>
        <w:rPr>
          <w:rFonts w:cs="Arial Narrow" w:ascii="Arial Narrow" w:hAnsi="Arial Narrow"/>
          <w:iCs/>
          <w:sz w:val="18"/>
        </w:rPr>
        <w:t xml:space="preserve"> shall mean the bank issuing a Letter of Credit at the request of Counterparty that meets the requirements set forth in the definition of Letter of Credit herein.</w:t>
      </w:r>
    </w:p>
    <w:p>
      <w:pPr>
        <w:pStyle w:val="Normal"/>
        <w:tabs>
          <w:tab w:val="left" w:pos="720" w:leader="none"/>
        </w:tabs>
        <w:ind w:hanging="1440" w:start="1440" w:end="0"/>
        <w:jc w:val="both"/>
        <w:rPr>
          <w:rFonts w:ascii="Arial Narrow" w:hAnsi="Arial Narrow" w:cs="Arial Narrow"/>
          <w:iCs/>
          <w:sz w:val="18"/>
        </w:rPr>
      </w:pPr>
      <w:r>
        <w:rPr>
          <w:rFonts w:cs="Arial Narrow" w:ascii="Arial Narrow" w:hAnsi="Arial Narrow"/>
          <w:iCs/>
          <w:sz w:val="18"/>
        </w:rPr>
      </w:r>
    </w:p>
    <w:p>
      <w:pPr>
        <w:pStyle w:val="Normal"/>
        <w:tabs>
          <w:tab w:val="left" w:pos="720" w:leader="none"/>
        </w:tabs>
        <w:ind w:hanging="720" w:start="1440" w:end="0"/>
        <w:jc w:val="both"/>
        <w:rPr/>
      </w:pPr>
      <w:r>
        <w:rPr>
          <w:rFonts w:cs="Arial Narrow" w:ascii="Arial Narrow" w:hAnsi="Arial Narrow"/>
          <w:sz w:val="18"/>
        </w:rPr>
        <w:t>(k)</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720" w:end="0"/>
        <w:jc w:val="both"/>
        <w:rPr/>
      </w:pPr>
      <w:r>
        <w:rPr>
          <w:rFonts w:cs="Arial Narrow" w:ascii="Arial Narrow" w:hAnsi="Arial Narrow"/>
          <w:sz w:val="18"/>
        </w:rPr>
        <w:t>(l)</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rFonts w:ascii="Arial Narrow" w:hAnsi="Arial Narrow" w:cs="Arial Narrow"/>
          <w:b/>
          <w:sz w:val="18"/>
          <w:u w:val="single"/>
        </w:rPr>
      </w:pPr>
      <w:r>
        <w:rPr>
          <w:rFonts w:cs="Arial Narrow" w:ascii="Arial Narrow" w:hAnsi="Arial Narrow"/>
          <w:b/>
          <w:sz w:val="18"/>
          <w:u w:val="single"/>
        </w:rPr>
      </w:r>
    </w:p>
    <w:p>
      <w:pPr>
        <w:pStyle w:val="Normal"/>
        <w:ind w:hanging="720" w:start="1440" w:end="0"/>
        <w:jc w:val="both"/>
        <w:rPr/>
      </w:pPr>
      <w:r>
        <w:rPr>
          <w:rFonts w:cs="Arial Narrow" w:ascii="Arial Narrow" w:hAnsi="Arial Narrow"/>
          <w:sz w:val="18"/>
        </w:rPr>
        <w:t>(m)</w:t>
        <w:tab/>
        <w:t>"</w:t>
      </w:r>
      <w:r>
        <w:rPr>
          <w:rFonts w:cs="Arial Narrow" w:ascii="Arial Narrow" w:hAnsi="Arial Narrow"/>
          <w:i/>
          <w:sz w:val="18"/>
          <w:u w:val="single"/>
        </w:rPr>
        <w:t>Performance Assurance</w:t>
      </w:r>
      <w:r>
        <w:rPr>
          <w:rFonts w:cs="Arial Narrow" w:ascii="Arial Narrow" w:hAnsi="Arial Narrow"/>
          <w:sz w:val="18"/>
        </w:rPr>
        <w:t xml:space="preserve">" means (i)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ENA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Issuer and as are acceptable to ENA; (ii) all Cash that has been Transferred to or received by ENA and not Transferred to Counterparty pursuant to Section 2(b) of this Annex or released by ENA; (iii) any Interest Amount or portion thereof that has not been Transferred pursuant to Section 3(b) of this Annex and any Cash received by ENA pursuant to Section 4 of this Annex; and (iv) all proceeds of all of the foregoing property that have been Transferred to or received by ENA hereunder.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(n)</w:t>
        <w:tab/>
        <w:t>“</w:t>
      </w:r>
      <w:r>
        <w:rPr>
          <w:rFonts w:cs="Arial Narrow" w:ascii="Arial Narrow" w:hAnsi="Arial Narrow"/>
          <w:i/>
          <w:sz w:val="18"/>
          <w:u w:val="single"/>
        </w:rPr>
        <w:t>S&amp;P”</w:t>
      </w:r>
      <w:r>
        <w:rPr>
          <w:rFonts w:cs="Arial Narrow" w:ascii="Arial Narrow" w:hAnsi="Arial Narrow"/>
          <w:sz w:val="18"/>
        </w:rPr>
        <w:t xml:space="preserve"> means the Standard &amp; Poor’s Rating Group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(o)</w:t>
        <w:tab/>
      </w:r>
      <w:r>
        <w:rPr>
          <w:rFonts w:cs="Arial Narrow" w:ascii="Arial Narrow" w:hAnsi="Arial Narrow"/>
          <w:i/>
          <w:sz w:val="18"/>
        </w:rPr>
        <w:t>"</w:t>
      </w:r>
      <w:r>
        <w:rPr>
          <w:rFonts w:cs="Arial Narrow" w:ascii="Arial Narrow" w:hAnsi="Arial Narrow"/>
          <w:i/>
          <w:sz w:val="18"/>
          <w:u w:val="single"/>
        </w:rPr>
        <w:t>Swaps</w:t>
      </w:r>
      <w:r>
        <w:rPr>
          <w:rFonts w:cs="Arial Narrow" w:ascii="Arial Narrow" w:hAnsi="Arial Narrow"/>
          <w:i/>
          <w:sz w:val="18"/>
        </w:rPr>
        <w:t>"</w:t>
      </w:r>
      <w:r>
        <w:rPr>
          <w:rFonts w:cs="Arial Narrow" w:ascii="Arial Narrow" w:hAnsi="Arial Narrow"/>
          <w:sz w:val="18"/>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rFonts w:cs="Arial Narrow" w:ascii="Arial Narrow" w:hAnsi="Arial Narrow"/>
          <w:sz w:val="18"/>
          <w:u w:val="single"/>
        </w:rPr>
        <w:t>Swap</w:t>
      </w:r>
      <w:r>
        <w:rPr>
          <w:rFonts w:cs="Arial Narrow" w:ascii="Arial Narrow" w:hAnsi="Arial Narrow"/>
          <w:sz w:val="18"/>
        </w:rPr>
        <w:t>" shall mean any of the Swaps.</w:t>
      </w:r>
    </w:p>
    <w:p>
      <w:pPr>
        <w:pStyle w:val="Normal"/>
        <w:spacing w:before="240" w:after="0"/>
        <w:ind w:hanging="720" w:start="1440" w:end="0"/>
        <w:jc w:val="both"/>
        <w:rPr/>
      </w:pPr>
      <w:r>
        <w:rPr>
          <w:rFonts w:cs="Arial Narrow" w:ascii="Arial Narrow" w:hAnsi="Arial Narrow"/>
          <w:sz w:val="18"/>
        </w:rPr>
        <w:t>(p)</w:t>
        <w:tab/>
        <w:t>"</w:t>
      </w:r>
      <w:r>
        <w:rPr>
          <w:rFonts w:cs="Arial Narrow" w:ascii="Arial Narrow" w:hAnsi="Arial Narrow"/>
          <w:sz w:val="18"/>
          <w:u w:val="single"/>
        </w:rPr>
        <w:t>Transfer</w:t>
      </w:r>
      <w:r>
        <w:rPr>
          <w:rFonts w:cs="Arial Narrow" w:ascii="Arial Narrow" w:hAnsi="Arial Narrow"/>
          <w:sz w:val="18"/>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rFonts w:ascii="Arial Narrow" w:hAnsi="Arial Narrow" w:cs="Arial Narrow"/>
          <w:i/>
          <w:i/>
          <w:sz w:val="18"/>
        </w:rPr>
      </w:pPr>
      <w:r>
        <w:rPr>
          <w:rFonts w:cs="Arial Narrow" w:ascii="Arial Narrow" w:hAnsi="Arial Narrow"/>
          <w:i/>
          <w:sz w:val="18"/>
        </w:rPr>
      </w:r>
    </w:p>
    <w:p>
      <w:pPr>
        <w:pStyle w:val="Normal"/>
        <w:tabs>
          <w:tab w:val="left" w:pos="720" w:leader="none"/>
        </w:tabs>
        <w:ind w:hanging="720" w:start="1440" w:end="0"/>
        <w:jc w:val="both"/>
        <w:rPr/>
      </w:pPr>
      <w:r>
        <w:rPr>
          <w:rFonts w:cs="Arial Narrow" w:ascii="Arial Narrow" w:hAnsi="Arial Narrow"/>
          <w:sz w:val="18"/>
        </w:rPr>
        <w:t>(q)</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(r)</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ind w:hanging="720" w:start="1440" w:end="0"/>
        <w:jc w:val="both"/>
        <w:rPr>
          <w:rFonts w:ascii="Arial Narrow" w:hAnsi="Arial Narrow" w:cs="Arial Narrow"/>
          <w:b/>
          <w:sz w:val="18"/>
        </w:rPr>
      </w:pPr>
      <w:r>
        <w:rPr>
          <w:rFonts w:cs="Arial Narrow" w:ascii="Arial Narrow" w:hAnsi="Arial Narrow"/>
          <w:sz w:val="18"/>
        </w:rPr>
        <w:t>(a)</w:t>
        <w:tab/>
        <w:t xml:space="preserve">On any Business Day, ENA may demand in writing that Counterparty establish and maintain (subject to increase as provided below) (1) Performance Assurance for the benefit of ENA equal to Counterparty's Collateral Requirement, rounded up to the next higher integral multiple of $250,000,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ENA.  Unless otherwise agreed in writing by the parties, Performance Assurance demanded of Counterparty by 10:00 a.m., New York time, on a Business Day shall be provided by the close of business on the next succeeding Business Day; </w:t>
      </w:r>
      <w:r>
        <w:rPr>
          <w:rFonts w:cs="Arial Narrow" w:ascii="Arial Narrow" w:hAnsi="Arial Narrow"/>
          <w:sz w:val="18"/>
          <w:u w:val="single"/>
        </w:rPr>
        <w:t>provided, however</w:t>
      </w:r>
      <w:r>
        <w:rPr>
          <w:rFonts w:cs="Arial Narrow" w:ascii="Arial Narrow" w:hAnsi="Arial Narrow"/>
          <w:sz w:val="18"/>
        </w:rPr>
        <w:t>, that Letters of Credit shall be Transferred by the close of business on the second succeeding Business Day.</w:t>
      </w:r>
    </w:p>
    <w:p>
      <w:pPr>
        <w:pStyle w:val="BodyTextIndent"/>
        <w:rPr/>
      </w:pPr>
      <w:r>
        <w:rPr/>
        <w:t>(b)</w:t>
        <w:tab/>
        <w:t xml:space="preserve">On any Business Day (but no more frequently than weekly), Counterparty may request a reduction in the amount of Performance Assurance previously provided by it, </w:t>
      </w:r>
      <w:r>
        <w:rPr>
          <w:u w:val="single"/>
        </w:rPr>
        <w:t>provided that</w:t>
      </w:r>
      <w:r>
        <w:rPr/>
        <w:t>, after the requested reduction in Performance Assurance, (i)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or potential Event of Default with respect to Counterparty shall have occurred and be continuing; and (iv) no Early Termination Date for which any unsatisfied payment obligations of Counterparty exist has occurred or been designated as a result of an Event of Default with respect to Counterparty.  A permitted reduction in Performance Assurance shall be effected by either the Transfer of Cash to Counterparty or the reduction of the amount of an outstanding Letter of Credit previously issued for the benefit of ENA. Counterparty shall have the right to specify the means of effecting the reduction in Performance Assurance. ENA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ENA, then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3.  </w:t>
      </w:r>
      <w:r>
        <w:rPr>
          <w:rFonts w:cs="Arial Narrow" w:ascii="Arial Narrow" w:hAnsi="Arial Narrow"/>
          <w:sz w:val="18"/>
          <w:u w:val="single"/>
        </w:rPr>
        <w:t>Cash Collateral</w:t>
      </w:r>
      <w:r>
        <w:rPr>
          <w:rFonts w:cs="Arial Narrow" w:ascii="Arial Narrow" w:hAnsi="Arial Narrow"/>
          <w:sz w:val="18"/>
        </w:rPr>
        <w:t>.</w:t>
        <w:tab/>
        <w:t xml:space="preserve"> Performance Assurance in the form of United States Dollars (“Cash”) shall be subject to the following provisions: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 xml:space="preserve">Unless otherwise agreed in writing by the parties, Cash shall be delivered in accordance with this Annex and to such account specified by ENA in the demand sent to Counterparty pursuant to Section 2 of this Annex. </w:t>
      </w:r>
    </w:p>
    <w:p>
      <w:pPr>
        <w:pStyle w:val="BodyTextIndent2"/>
        <w:spacing w:lineRule="auto" w:line="240"/>
        <w:rPr/>
      </w:pPr>
      <w:r>
        <w:rPr/>
        <w:tab/>
        <w:t>(b)</w:t>
        <w:tab/>
        <w:t>So long as no Event of Default with respect to Counterparty has occurred and is continuing, and no Early Termination Date for which any unsatisfied payment obligations of Counterparty exist has occurred or been designated as the result of an Event of Default with respect to Counterparty and to the extent that an obligation to deliver Performance Assurance would not be created or increased by the Transfer, ENA will Transfer to Counterparty, in lieu of any interest, dividends or other amounts paid or deemed to have been paid with respect to the Cash (all of which may be retained by ENA), the Interest Amount (as defined above) on the last Business Day of each calendar month.  On or after the occurrence of an Event of Default with respect to Counterparty or an Early Termination Date as a result of an Event of Default with respect to Counterparty, ENA shall retain any such Interest Amount as additional Cash hereunder until the obligations of Counterparty under the Confirmation have been satisfied.</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Without limiting ENA’s rights under Section 8(d) of this Annex, ENA will exercise reasonable care to assure the safe custody of all Cash to the extent required by applicable law, and in any event the ENA will be deemed to have exercised reasonable care if it exercises at least the same degree of care as it would exercise with respect to its own property.  Except as specified in the preceding sentence, ENA will have no duty with respect to Cash.</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 xml:space="preserve">4.  </w:t>
      </w:r>
      <w:r>
        <w:rPr>
          <w:rFonts w:cs="Arial Narrow" w:ascii="Arial Narrow" w:hAnsi="Arial Narrow"/>
          <w:sz w:val="18"/>
          <w:u w:val="single"/>
        </w:rPr>
        <w:t>Letters of Credit</w:t>
      </w:r>
      <w:r>
        <w:rPr>
          <w:rFonts w:cs="Arial Narrow" w:ascii="Arial Narrow" w:hAnsi="Arial Narrow"/>
          <w:sz w:val="18"/>
        </w:rPr>
        <w:t>.</w:t>
        <w:tab/>
        <w:t xml:space="preserve"> Performance Assurance in the form of a Letter of Credit shall be subject to the following provisions:</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(a)</w:t>
        <w:tab/>
        <w:t>Unless otherwise agreed in writing by the parties, a Letter of Credit shall be provided in accordance with this Annex, and the Letter of Credit shall be maintained for the benefit of ENA.  Counterparty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substitute Performance Assurance, in each case at least twenty (20) Business Days prior to the expiration of the outstanding Letter of Credit, and (iii) if the Issuer shall fail to honor ENA's properly documented request to draw on an outstanding Letter of Credit, provide for the benefit of ENA either a substitute Letter of Credit that is issued by a bank acceptable to ENA  or other substitute Performance Assurance, in each case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(b)</w:t>
        <w:tab/>
        <w:t>Upon the occurrence of a Letter of Credit Default, Counterparty agrees to either cause another Issuer to deliver to ENA a substitute Letter of Credit, or alternatively, Counterparty shall provide other Performance Assurance, in each case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Upon or at any time after the occurrence of an Event of Default with respect to Counterparty, ENA may draw on the entire, undrawn portion of any outstanding Letter of Credit upon submission to the Issuer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ENA (and Counterparty hereby pledges and grants to ENA as security for such obligations a first lien, priority security interest in and to such cash proceeds) and ENA shall have the rights and remedies set forth in Section 6 herein with respect to such cash proceeds.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(e)</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5.  </w:t>
      </w:r>
      <w:r>
        <w:rPr>
          <w:rFonts w:cs="Arial Narrow" w:ascii="Arial Narrow" w:hAnsi="Arial Narrow"/>
          <w:sz w:val="18"/>
          <w:u w:val="single"/>
        </w:rPr>
        <w:t>Additional Representation</w:t>
      </w:r>
      <w:r>
        <w:rPr>
          <w:rFonts w:cs="Arial Narrow" w:ascii="Arial Narrow" w:hAnsi="Arial Narrow"/>
          <w:sz w:val="18"/>
        </w:rPr>
        <w:t>.  Counterparty continuously represents and warrants to ENA that (a) it has the power and authority under the law of the jurisdiction of its organization or incorporation and under its organizational and constituent documents to grant to ENA a valid, enforceable, first-priority security interest in, and lien on, all Performance Assurance (other than Letters of Credit) that it provides to ENA hereunder and has taken all necessary actions to authorize the granting of that security interest and lien; (b) as of each date on which it delivers Performance Assurance to ENA or to any agent of ENA for the benefit of ENA (or, in the case of after-acquired Cash, at the time ENA or its agent acquires rights therein), it will have title to and will be the sole owner of such Performance Assurance, free and clear of any security interest, lien, pledge, charge, encumbrance, or other interests or restrictions other than the security interest granted to ENA hereby; (c) ENA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rFonts w:cs="Arial Narrow" w:ascii="Arial Narrow" w:hAnsi="Arial Narrow"/>
          <w:sz w:val="18"/>
        </w:rPr>
        <w:tab/>
        <w:tab/>
        <w:t xml:space="preserve">6.  </w:t>
      </w:r>
      <w:r>
        <w:rPr>
          <w:rFonts w:cs="Arial Narrow" w:ascii="Arial Narrow" w:hAnsi="Arial Narrow"/>
          <w:sz w:val="18"/>
          <w:u w:val="single"/>
        </w:rPr>
        <w:t>ENA’s Rights and Remedies</w:t>
      </w:r>
      <w:r>
        <w:rPr>
          <w:rFonts w:cs="Arial Narrow" w:ascii="Arial Narrow" w:hAnsi="Arial Narrow"/>
          <w:sz w:val="18"/>
        </w:rPr>
        <w:t>.    If at any time (i) an Event of Default with respect to Counterparty has occurred and is continuing or (ii) an Early Termination Date has occurred or been designated as a result of an Event of Default with respect to Counterparty, then ENA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ENA or its agent; or (z) draw on any outstanding Letter of Credit issued for its benefit.  ENA shall either (y) apply the proceeds of the Performance Assurance realized upon the exercise of any such rights or remedies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w:t>
      </w:r>
    </w:p>
    <w:p>
      <w:pPr>
        <w:pStyle w:val="Normal"/>
        <w:tabs>
          <w:tab w:val="left" w:pos="720" w:leader="none"/>
        </w:tabs>
        <w:spacing w:before="240" w:after="0"/>
        <w:ind w:hanging="1440" w:end="0"/>
        <w:jc w:val="both"/>
        <w:rPr/>
      </w:pPr>
      <w:r>
        <w:rPr>
          <w:rFonts w:cs="Arial Narrow" w:ascii="Arial Narrow" w:hAnsi="Arial Narrow"/>
          <w:sz w:val="18"/>
        </w:rPr>
        <w:tab/>
        <w:tab/>
        <w:t xml:space="preserve">7.  </w:t>
      </w:r>
      <w:r>
        <w:rPr>
          <w:rFonts w:cs="Arial Narrow" w:ascii="Arial Narrow" w:hAnsi="Arial Narrow"/>
          <w:sz w:val="18"/>
          <w:u w:val="single"/>
        </w:rPr>
        <w:t>Security Interest</w:t>
      </w:r>
      <w:r>
        <w:rPr>
          <w:rFonts w:cs="Arial Narrow" w:ascii="Arial Narrow" w:hAnsi="Arial Narrow"/>
          <w:sz w:val="18"/>
        </w:rPr>
        <w:t>.  To secure its obligations under the Confirmation and all outstanding Swaps, Counterparty hereby grants to ENA a present and continuing first-priority security interest in, and lien on (and right of setoff against), all Performance Assurance (other than Letters of Credit) and any and all proceeds, to the extent not otherwise Transferred to ENA, resulting from such Performance Assurance, whether now or hereafter held by, on behalf of, or for the benefit of, ENA, and Counterparty agrees to take such action as ENA reasonably requires in order to perfect ENA’s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rFonts w:cs="Arial Narrow" w:ascii="Arial Narrow" w:hAnsi="Arial Narrow"/>
          <w:sz w:val="18"/>
        </w:rPr>
        <w:t xml:space="preserve">8.  </w:t>
      </w:r>
      <w:r>
        <w:rPr>
          <w:rFonts w:cs="Arial Narrow" w:ascii="Arial Narrow" w:hAnsi="Arial Narrow"/>
          <w:sz w:val="18"/>
          <w:u w:val="single"/>
        </w:rPr>
        <w:t>General.</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(b)</w:t>
        <w:tab/>
        <w:t>Counterparty will promptly pay when due all taxes, assessments or charges of any nature that are imposed with respect to Performance Assurance held by ENA upon becoming aware of the same, regardless of whether any portion of that Performance Assurance is subsequently disposed of under Section 6 of this Annex, except for those taxes, assessments and charges that result from the exercise of ENA’s rights under Section 8(d) of this Annex.</w:t>
      </w:r>
    </w:p>
    <w:p>
      <w:pPr>
        <w:pStyle w:val="Normal"/>
        <w:spacing w:before="240" w:after="0"/>
        <w:ind w:hanging="720" w:start="1440" w:end="0"/>
        <w:jc w:val="both"/>
        <w:rPr>
          <w:rFonts w:ascii="Arial Narrow" w:hAnsi="Arial Narrow" w:cs="Arial Narrow"/>
          <w:sz w:val="18"/>
        </w:rPr>
      </w:pPr>
      <w:r>
        <w:rPr>
          <w:rFonts w:cs="Arial Narrow" w:ascii="Arial Narrow" w:hAnsi="Arial Narrow"/>
          <w:sz w:val="18"/>
        </w:rPr>
        <w:t>(c)</w:t>
        <w:tab/>
        <w:t>All reasonable costs and expenses incurred by or on behalf of ENA in connection with the liquidation and/or application of any Performance Assurance under Section 6 of this Annex will be payable on demand and pursuant to the Confirmation and this Annex by Counterparty.</w:t>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spacing w:before="240" w:after="0"/>
        <w:ind w:hanging="720" w:start="1440" w:end="0"/>
        <w:jc w:val="both"/>
        <w:rPr>
          <w:rFonts w:ascii="Arial Narrow" w:hAnsi="Arial Narrow" w:cs="Arial Narrow"/>
          <w:sz w:val="18"/>
        </w:rPr>
      </w:pPr>
      <w:r>
        <w:rPr>
          <w:rFonts w:cs="Arial Narrow" w:ascii="Arial Narrow" w:hAnsi="Arial Narrow"/>
          <w:sz w:val="18"/>
        </w:rPr>
        <w:t>(d)</w:t>
        <w:tab/>
        <w:t>So long as ENA is not a Defaulting Party and no Early Termination Date has occurred or been designated as a result of an Event of Default with respect to ENA, then ENA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  Wherefore, the undersigned does hereby demand payment of the entire undrawn amount of the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rFonts w:ascii="Arial Narrow" w:hAnsi="Arial Narrow" w:cs="Arial Narrow"/>
          <w:sz w:val="18"/>
        </w:rPr>
      </w:pPr>
      <w:r>
        <w:rPr>
          <w:rFonts w:cs="Arial Narrow" w:ascii="Arial Narrow" w:hAnsi="Arial Narrow"/>
          <w:sz w:val="18"/>
        </w:rPr>
        <w:t>[BANK SIGNATURE]</w:t>
      </w:r>
    </w:p>
    <w:sectPr>
      <w:footerReference w:type="default" r:id="rId5"/>
      <w:footerReference w:type="first" r:id="rId6"/>
      <w:type w:val="nextPage"/>
      <w:pgSz w:w="12240" w:h="15840"/>
      <w:pgMar w:left="1728" w:right="1728" w:gutter="0" w:header="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/mnt/main-storage/datasets/enron-docs/doc/008conf_inergy_.doc</w:t>
    </w:r>
    <w:r>
      <w:rPr>
        <w:sz w:val="16"/>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1</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6</w:t>
    </w:r>
    <w:r>
      <w:rPr>
        <w:rStyle w:val="PageNumber"/>
        <w:sz w:val="16"/>
        <w:rFonts w:cs="Arial Narrow" w:ascii="Arial Narrow" w:hAnsi="Arial Narrow"/>
      </w:rPr>
      <w:fldChar w:fldCharType="end"/>
    </w:r>
    <w:r>
      <w:rPr>
        <w:rStyle w:val="PageNumber"/>
        <w:rFonts w:cs="Arial Narrow" w:ascii="Arial Narrow" w:hAnsi="Arial Narrow"/>
        <w:sz w:val="16"/>
      </w:rPr>
      <w:t xml:space="preserve"> of 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2001-06-25T17:14:00Z</dcterms:created>
  <dc:creator>mheard</dc:creator>
  <dc:description/>
  <dc:language>en-CA</dc:language>
  <cp:lastModifiedBy>mheard</cp:lastModifiedBy>
  <cp:lastPrinted>2001-06-26T14:22:00Z</cp:lastPrinted>
  <dcterms:modified xsi:type="dcterms:W3CDTF">2001-06-26T16:52:00Z</dcterms:modified>
  <cp:revision>6</cp:revision>
  <dc:subject/>
  <dc:title>DRAFT OF 10/15/99</dc:title>
</cp:coreProperties>
</file>