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INERGY PARTNERS, LTD.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Counterparty fails to establish, maintain, renew, substitute or increase the Performance Assurance 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Indent3"/>
        <w:rPr/>
      </w:pPr>
      <w:r>
        <w:rPr/>
        <w:t>(h)</w:t>
        <w:tab/>
        <w:t>the failure in the payment when due (whether at maturity, by acceleration, or otherwise) of any obligation in respect of borrowed money, in an aggregate amount in excess of $1,000,000 with respect to Counterparty,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2.</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3.</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$0.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(i)</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(k)</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(m)</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(n)</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(o)</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(p)</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(q)</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(r)</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/mnt/main-storage/datasets/enron-docs/doc/008conf_inergy_-f7bd9baaf6eb8373e062b0a77ceaade39c0959327facc60750f3402d5171a7f4.doc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2001-06-25T17:14:00Z</dcterms:created>
  <dc:creator>mheard</dc:creator>
  <dc:description/>
  <dc:language>en-CA</dc:language>
  <cp:lastModifiedBy>mheard</cp:lastModifiedBy>
  <cp:lastPrinted>2001-06-25T17:15:00Z</cp:lastPrinted>
  <dcterms:modified xsi:type="dcterms:W3CDTF">2001-06-25T19:45:00Z</dcterms:modified>
  <cp:revision>5</cp:revision>
  <dc:subject/>
  <dc:title>DRAFT OF 10/15/99</dc:title>
</cp:coreProperties>
</file>