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FIRST AMENDMENT TO MASTER AGREEMENT</w:t>
      </w:r>
    </w:p>
    <w:p>
      <w:pPr>
        <w:pStyle w:val="Normal"/>
        <w:spacing w:lineRule="exact" w:line="240"/>
        <w:rPr>
          <w:sz w:val="22"/>
        </w:rPr>
      </w:pPr>
      <w:r>
        <w:rPr>
          <w:sz w:val="22"/>
        </w:rPr>
      </w:r>
    </w:p>
    <w:p>
      <w:pPr>
        <w:pStyle w:val="Normal"/>
        <w:jc w:val="both"/>
        <w:rPr/>
      </w:pPr>
      <w:r>
        <w:rPr>
          <w:sz w:val="22"/>
        </w:rPr>
        <w:tab/>
        <w:t xml:space="preserve">This First Amendment to Master Agreement dated effective as of </w:t>
      </w:r>
      <w:r>
        <w:rPr>
          <w:sz w:val="22"/>
          <w:u w:val="single"/>
        </w:rPr>
        <w:tab/>
        <w:tab/>
        <w:tab/>
      </w:r>
      <w:r>
        <w:rPr>
          <w:sz w:val="22"/>
        </w:rPr>
        <w:t>, 2000 (this “Amendment”), is made and entered into by and between Cargill, Incorporated (“Counterparty”) and Enron North America Corp. (“ENA”).</w:t>
      </w:r>
    </w:p>
    <w:p>
      <w:pPr>
        <w:pStyle w:val="Normal"/>
        <w:spacing w:lineRule="exact" w:line="240"/>
        <w:jc w:val="both"/>
        <w:rPr>
          <w:sz w:val="22"/>
        </w:rPr>
      </w:pPr>
      <w:r>
        <w:rPr>
          <w:sz w:val="22"/>
        </w:rPr>
        <w:t xml:space="preserve"> </w:t>
      </w:r>
    </w:p>
    <w:p>
      <w:pPr>
        <w:pStyle w:val="Normal"/>
        <w:spacing w:lineRule="exact" w:line="240"/>
        <w:jc w:val="both"/>
        <w:rPr>
          <w:sz w:val="22"/>
        </w:rPr>
      </w:pPr>
      <w:r>
        <w:rPr>
          <w:sz w:val="22"/>
        </w:rPr>
        <w:tab/>
        <w:t>WHEREAS, Counterparty and ENA entered into that certain Master Agreement dated as of April 16, 1999 (the “Master Agreement”);</w:t>
      </w:r>
    </w:p>
    <w:p>
      <w:pPr>
        <w:pStyle w:val="Normal"/>
        <w:spacing w:lineRule="exact" w:line="240"/>
        <w:jc w:val="both"/>
        <w:rPr>
          <w:sz w:val="22"/>
        </w:rPr>
      </w:pPr>
      <w:r>
        <w:rPr>
          <w:sz w:val="22"/>
        </w:rPr>
      </w:r>
    </w:p>
    <w:p>
      <w:pPr>
        <w:pStyle w:val="Normal"/>
        <w:spacing w:lineRule="exact" w:line="240"/>
        <w:jc w:val="both"/>
        <w:rPr>
          <w:sz w:val="22"/>
        </w:rPr>
      </w:pPr>
      <w:r>
        <w:rPr>
          <w:sz w:val="22"/>
        </w:rPr>
        <w:tab/>
        <w:t>WHEREAS, the parties hereto desire to amend the Master Agreement as provided herein;</w:t>
      </w:r>
    </w:p>
    <w:p>
      <w:pPr>
        <w:pStyle w:val="Normal"/>
        <w:spacing w:lineRule="exact" w:line="240"/>
        <w:jc w:val="both"/>
        <w:rPr>
          <w:sz w:val="22"/>
        </w:rPr>
      </w:pPr>
      <w:r>
        <w:rPr>
          <w:sz w:val="22"/>
        </w:rPr>
      </w:r>
    </w:p>
    <w:p>
      <w:pPr>
        <w:pStyle w:val="Normal"/>
        <w:spacing w:lineRule="exact" w:line="240"/>
        <w:jc w:val="both"/>
        <w:rPr>
          <w:sz w:val="22"/>
        </w:rPr>
      </w:pPr>
      <w:r>
        <w:rPr>
          <w:sz w:val="22"/>
        </w:rPr>
        <w:tab/>
        <w:t>NOW THEREFORE, for and in consideration of the agreements herein made and other good and valuable consideration, the parties hereto agree as follows:</w:t>
      </w:r>
    </w:p>
    <w:p>
      <w:pPr>
        <w:pStyle w:val="Normal"/>
        <w:spacing w:lineRule="exact" w:line="240"/>
        <w:jc w:val="both"/>
        <w:rPr>
          <w:sz w:val="22"/>
        </w:rPr>
      </w:pPr>
      <w:r>
        <w:rPr>
          <w:sz w:val="22"/>
        </w:rPr>
      </w:r>
    </w:p>
    <w:p>
      <w:pPr>
        <w:pStyle w:val="Normal"/>
        <w:spacing w:lineRule="exact" w:line="240"/>
        <w:jc w:val="center"/>
        <w:rPr>
          <w:sz w:val="22"/>
        </w:rPr>
      </w:pPr>
      <w:r>
        <w:rPr>
          <w:b/>
          <w:sz w:val="22"/>
        </w:rPr>
        <w:t xml:space="preserve">I.  </w:t>
      </w:r>
      <w:r>
        <w:rPr>
          <w:b/>
          <w:sz w:val="22"/>
          <w:u w:val="single"/>
        </w:rPr>
        <w:t>AMENDMENTS</w:t>
      </w:r>
    </w:p>
    <w:p>
      <w:pPr>
        <w:pStyle w:val="Normal"/>
        <w:spacing w:lineRule="exact" w:line="240"/>
        <w:jc w:val="both"/>
        <w:rPr>
          <w:sz w:val="22"/>
        </w:rPr>
      </w:pPr>
      <w:r>
        <w:rPr>
          <w:sz w:val="22"/>
        </w:rPr>
      </w:r>
    </w:p>
    <w:p>
      <w:pPr>
        <w:pStyle w:val="Normal"/>
        <w:spacing w:lineRule="exact" w:line="240"/>
        <w:jc w:val="both"/>
        <w:rPr>
          <w:sz w:val="22"/>
        </w:rPr>
      </w:pPr>
      <w:r>
        <w:rPr>
          <w:sz w:val="22"/>
        </w:rPr>
        <w:tab/>
        <w:t>The Master Agreement is hereby amended as follows:</w:t>
      </w:r>
    </w:p>
    <w:p>
      <w:pPr>
        <w:pStyle w:val="Normal"/>
        <w:spacing w:lineRule="exact" w:line="240"/>
        <w:jc w:val="both"/>
        <w:rPr>
          <w:sz w:val="22"/>
        </w:rPr>
      </w:pPr>
      <w:r>
        <w:rPr>
          <w:sz w:val="22"/>
        </w:rPr>
      </w:r>
    </w:p>
    <w:p>
      <w:pPr>
        <w:pStyle w:val="Normal"/>
        <w:spacing w:lineRule="exact" w:line="240"/>
        <w:ind w:firstLine="720" w:end="0"/>
        <w:jc w:val="both"/>
        <w:rPr/>
      </w:pPr>
      <w:r>
        <w:rPr>
          <w:sz w:val="22"/>
        </w:rPr>
        <w:t>The definition of “</w:t>
      </w:r>
      <w:r>
        <w:rPr>
          <w:sz w:val="22"/>
          <w:u w:val="single"/>
        </w:rPr>
        <w:t>Threshold</w:t>
      </w:r>
      <w:r>
        <w:rPr>
          <w:sz w:val="22"/>
        </w:rPr>
        <w:t xml:space="preserve">” contained in Section b(iv)(B) of Paragraph 13 to the </w:t>
      </w:r>
      <w:r>
        <w:rPr>
          <w:sz w:val="22"/>
          <w:u w:val="single"/>
        </w:rPr>
        <w:t>Annex A - Credit Support Annex</w:t>
      </w:r>
      <w:r>
        <w:rPr>
          <w:sz w:val="22"/>
        </w:rPr>
        <w:t xml:space="preserve"> is hereby amended to read as follows:</w:t>
      </w:r>
    </w:p>
    <w:p>
      <w:pPr>
        <w:pStyle w:val="Normal"/>
        <w:spacing w:lineRule="exact" w:line="240"/>
        <w:jc w:val="both"/>
        <w:rPr>
          <w:sz w:val="22"/>
        </w:rPr>
      </w:pPr>
      <w:r>
        <w:rPr>
          <w:sz w:val="22"/>
        </w:rPr>
      </w:r>
    </w:p>
    <w:p>
      <w:pPr>
        <w:pStyle w:val="Normal"/>
        <w:ind w:firstLine="720" w:end="0"/>
        <w:jc w:val="both"/>
        <w:rPr/>
      </w:pPr>
      <w:r>
        <w:rPr>
          <w:b/>
          <w:bCs/>
          <w:sz w:val="22"/>
        </w:rPr>
        <w:t>“</w:t>
      </w:r>
      <w:r>
        <w:rPr>
          <w:b/>
          <w:bCs/>
          <w:sz w:val="22"/>
        </w:rPr>
        <w:t>Threshold”</w:t>
      </w:r>
      <w:r>
        <w:rPr>
          <w:sz w:val="22"/>
        </w:rPr>
        <w:t xml:space="preserve"> means, with respect to Party A, U.S. $15,000,000 and with respect to Party B, U.S. $15,000,000; provided, however, that the Threshold for a party shall be zero upon the occurrence and during the continuance of a Material Adverse Change or an Event of Default or Potential Event of Default with respect to such party.</w:t>
      </w:r>
    </w:p>
    <w:p>
      <w:pPr>
        <w:pStyle w:val="Normal"/>
        <w:jc w:val="both"/>
        <w:rPr>
          <w:sz w:val="22"/>
        </w:rPr>
      </w:pPr>
      <w:r>
        <w:rPr>
          <w:sz w:val="22"/>
        </w:rPr>
      </w:r>
    </w:p>
    <w:p>
      <w:pPr>
        <w:pStyle w:val="Normal"/>
        <w:keepNext w:val="true"/>
        <w:spacing w:lineRule="exact" w:line="240"/>
        <w:jc w:val="center"/>
        <w:rPr>
          <w:b/>
          <w:sz w:val="22"/>
        </w:rPr>
      </w:pPr>
      <w:r>
        <w:rPr>
          <w:b/>
          <w:sz w:val="22"/>
        </w:rPr>
      </w:r>
    </w:p>
    <w:p>
      <w:pPr>
        <w:pStyle w:val="Normal"/>
        <w:keepNext w:val="true"/>
        <w:spacing w:lineRule="exact" w:line="240"/>
        <w:jc w:val="center"/>
        <w:rPr>
          <w:sz w:val="22"/>
        </w:rPr>
      </w:pPr>
      <w:r>
        <w:rPr>
          <w:b/>
          <w:sz w:val="22"/>
        </w:rPr>
        <w:t xml:space="preserve">II.  </w:t>
      </w:r>
      <w:r>
        <w:rPr>
          <w:b/>
          <w:sz w:val="22"/>
          <w:u w:val="single"/>
        </w:rPr>
        <w:t>MISCELLANEOUS</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tab/>
      </w:r>
    </w:p>
    <w:p>
      <w:pPr>
        <w:pStyle w:val="Normal"/>
        <w:keepNext w:val="true"/>
        <w:spacing w:lineRule="exact" w:line="240"/>
        <w:ind w:firstLine="720" w:end="0"/>
        <w:jc w:val="both"/>
        <w:rPr>
          <w:sz w:val="22"/>
        </w:rPr>
      </w:pPr>
      <w:r>
        <w:rPr>
          <w:sz w:val="22"/>
        </w:rPr>
        <w:t>This Amendment may be executed in multiple counterparts, each of which when executed and delivered shall be deemed to be an original and all of which taken together shall constitute but one and the same instrument.</w:t>
      </w:r>
    </w:p>
    <w:p>
      <w:pPr>
        <w:pStyle w:val="BodyText"/>
        <w:rPr>
          <w:sz w:val="22"/>
        </w:rPr>
      </w:pPr>
      <w:r>
        <w:rPr>
          <w:sz w:val="22"/>
        </w:rPr>
      </w:r>
    </w:p>
    <w:p>
      <w:pPr>
        <w:pStyle w:val="BodyText"/>
        <w:keepNext w:val="true"/>
        <w:spacing w:lineRule="exact" w:line="240"/>
        <w:ind w:firstLine="720" w:end="0"/>
        <w:rPr/>
      </w:pPr>
      <w:r>
        <w:rPr/>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agreement.</w:t>
      </w:r>
    </w:p>
    <w:p>
      <w:pPr>
        <w:pStyle w:val="BodyText"/>
        <w:spacing w:lineRule="exact" w:line="240"/>
        <w:rPr/>
      </w:pPr>
      <w:r>
        <w:rPr/>
      </w:r>
    </w:p>
    <w:p>
      <w:pPr>
        <w:pStyle w:val="BodyText"/>
        <w:spacing w:lineRule="exact" w:line="240"/>
        <w:rPr/>
      </w:pPr>
      <w:r>
        <w:rPr/>
        <w:tab/>
        <w:t>Except as amended hereby, all other terms and conditions of the Master Agreement, including the Annex A – Credit Support Annex, shall remain the same and in full force and effect.</w:t>
      </w:r>
    </w:p>
    <w:p>
      <w:pPr>
        <w:pStyle w:val="BodyText"/>
        <w:spacing w:lineRule="exact" w:line="240"/>
        <w:rPr/>
      </w:pPr>
      <w:r>
        <w:rPr/>
      </w:r>
      <w:r>
        <w:br w:type="page"/>
      </w:r>
    </w:p>
    <w:p>
      <w:pPr>
        <w:pStyle w:val="Normal"/>
        <w:keepNext w:val="true"/>
        <w:spacing w:lineRule="exact" w:line="240"/>
        <w:ind w:firstLine="720" w:end="0"/>
        <w:jc w:val="both"/>
        <w:rPr>
          <w:sz w:val="22"/>
        </w:rPr>
      </w:pPr>
      <w:r>
        <w:rPr>
          <w:sz w:val="22"/>
        </w:rPr>
        <w:t>IN WITNESS WHEREOF, the parties hereto have executed this Amendment effective as of the date first written above.</w:t>
      </w:r>
    </w:p>
    <w:p>
      <w:pPr>
        <w:pStyle w:val="Normal"/>
        <w:keepNext w:val="true"/>
        <w:spacing w:lineRule="exact" w:line="240"/>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keepNext w:val="true"/>
              <w:jc w:val="both"/>
              <w:rPr>
                <w:b/>
                <w:sz w:val="22"/>
              </w:rPr>
            </w:pPr>
            <w:r>
              <w:rPr>
                <w:b/>
                <w:sz w:val="22"/>
              </w:rPr>
              <w:t>ENRON NORTH AMERICA CORP.</w:t>
            </w:r>
          </w:p>
          <w:p>
            <w:pPr>
              <w:pStyle w:val="Normal"/>
              <w:keepNext w:val="true"/>
              <w:jc w:val="both"/>
              <w:rPr>
                <w:b/>
                <w:sz w:val="22"/>
              </w:rPr>
            </w:pPr>
            <w:r>
              <w:rPr>
                <w:b/>
                <w:sz w:val="22"/>
              </w:rPr>
            </w:r>
          </w:p>
          <w:p>
            <w:pPr>
              <w:pStyle w:val="Normal"/>
              <w:keepNext w:val="true"/>
              <w:jc w:val="both"/>
              <w:rPr>
                <w:sz w:val="22"/>
              </w:rPr>
            </w:pPr>
            <w:r>
              <w:rPr>
                <w:sz w:val="22"/>
              </w:rPr>
            </w:r>
          </w:p>
          <w:p>
            <w:pPr>
              <w:pStyle w:val="Normal"/>
              <w:keepNext w:val="true"/>
              <w:jc w:val="both"/>
              <w:rPr/>
            </w:pPr>
            <w:r>
              <w:rPr>
                <w:sz w:val="22"/>
              </w:rPr>
              <w:t>By:</w:t>
              <w:tab/>
            </w:r>
            <w:r>
              <w:rPr>
                <w:sz w:val="22"/>
                <w:u w:val="single"/>
              </w:rPr>
              <w:tab/>
              <w:tab/>
              <w:tab/>
              <w:tab/>
            </w:r>
          </w:p>
          <w:p>
            <w:pPr>
              <w:pStyle w:val="Normal"/>
              <w:keepNext w:val="true"/>
              <w:jc w:val="both"/>
              <w:rPr>
                <w:sz w:val="22"/>
              </w:rPr>
            </w:pPr>
            <w:r>
              <w:rPr>
                <w:sz w:val="22"/>
              </w:rPr>
              <w:t>Name:</w:t>
              <w:tab/>
            </w:r>
            <w:r>
              <w:rPr>
                <w:sz w:val="22"/>
                <w:u w:val="single"/>
              </w:rPr>
              <w:tab/>
              <w:tab/>
              <w:tab/>
              <w:tab/>
            </w:r>
          </w:p>
          <w:p>
            <w:pPr>
              <w:pStyle w:val="Normal"/>
              <w:keepNext w:val="true"/>
              <w:jc w:val="both"/>
              <w:rPr>
                <w:sz w:val="22"/>
              </w:rPr>
            </w:pPr>
            <w:r>
              <w:rPr>
                <w:sz w:val="22"/>
              </w:rPr>
              <w:t>Title:</w:t>
              <w:tab/>
            </w:r>
            <w:r>
              <w:rPr>
                <w:sz w:val="22"/>
                <w:u w:val="single"/>
              </w:rPr>
              <w:tab/>
              <w:tab/>
              <w:tab/>
              <w:tab/>
            </w:r>
          </w:p>
        </w:tc>
        <w:tc>
          <w:tcPr>
            <w:tcW w:w="900" w:type="dxa"/>
            <w:tcBorders/>
          </w:tcPr>
          <w:p>
            <w:pPr>
              <w:pStyle w:val="Normal"/>
              <w:keepNext w:val="true"/>
              <w:snapToGrid w:val="false"/>
              <w:jc w:val="both"/>
              <w:rPr>
                <w:sz w:val="22"/>
              </w:rPr>
            </w:pPr>
            <w:r>
              <w:rPr>
                <w:sz w:val="22"/>
              </w:rPr>
            </w:r>
          </w:p>
        </w:tc>
        <w:tc>
          <w:tcPr>
            <w:tcW w:w="4230" w:type="dxa"/>
            <w:tcBorders/>
          </w:tcPr>
          <w:p>
            <w:pPr>
              <w:pStyle w:val="Normal"/>
              <w:keepNext w:val="true"/>
              <w:rPr>
                <w:b/>
                <w:sz w:val="22"/>
              </w:rPr>
            </w:pPr>
            <w:r>
              <w:rPr>
                <w:b/>
                <w:sz w:val="22"/>
              </w:rPr>
              <w:t>CARGILL, INCORPORATED</w:t>
            </w:r>
          </w:p>
          <w:p>
            <w:pPr>
              <w:pStyle w:val="Normal"/>
              <w:keepNext w:val="true"/>
              <w:rPr>
                <w:b/>
                <w:sz w:val="22"/>
              </w:rPr>
            </w:pPr>
            <w:r>
              <w:rPr>
                <w:b/>
                <w:sz w:val="22"/>
              </w:rPr>
            </w:r>
          </w:p>
          <w:p>
            <w:pPr>
              <w:pStyle w:val="Normal"/>
              <w:keepNext w:val="true"/>
              <w:jc w:val="both"/>
              <w:rPr>
                <w:sz w:val="22"/>
              </w:rPr>
            </w:pPr>
            <w:r>
              <w:rPr>
                <w:sz w:val="22"/>
              </w:rPr>
            </w:r>
          </w:p>
          <w:p>
            <w:pPr>
              <w:pStyle w:val="Normal"/>
              <w:keepNext w:val="true"/>
              <w:jc w:val="both"/>
              <w:rPr/>
            </w:pPr>
            <w:r>
              <w:rPr>
                <w:sz w:val="22"/>
              </w:rPr>
              <w:t>By:</w:t>
              <w:tab/>
            </w:r>
            <w:r>
              <w:rPr>
                <w:sz w:val="22"/>
                <w:u w:val="single"/>
              </w:rPr>
              <w:tab/>
              <w:tab/>
              <w:tab/>
              <w:tab/>
            </w:r>
          </w:p>
          <w:p>
            <w:pPr>
              <w:pStyle w:val="Normal"/>
              <w:keepNext w:val="true"/>
              <w:jc w:val="both"/>
              <w:rPr>
                <w:sz w:val="22"/>
              </w:rPr>
            </w:pPr>
            <w:r>
              <w:rPr>
                <w:sz w:val="22"/>
              </w:rPr>
              <w:t>Name:</w:t>
              <w:tab/>
            </w:r>
            <w:r>
              <w:rPr>
                <w:sz w:val="22"/>
                <w:u w:val="single"/>
              </w:rPr>
              <w:tab/>
              <w:tab/>
              <w:tab/>
              <w:tab/>
            </w:r>
          </w:p>
          <w:p>
            <w:pPr>
              <w:pStyle w:val="Normal"/>
              <w:keepNext w:val="true"/>
              <w:jc w:val="both"/>
              <w:rPr>
                <w:sz w:val="22"/>
              </w:rPr>
            </w:pPr>
            <w:r>
              <w:rPr>
                <w:sz w:val="22"/>
              </w:rPr>
              <w:t>Title:</w:t>
              <w:tab/>
            </w:r>
            <w:r>
              <w:rPr>
                <w:sz w:val="22"/>
                <w:u w:val="single"/>
              </w:rPr>
              <w:tab/>
              <w:tab/>
              <w:tab/>
              <w:tab/>
            </w:r>
          </w:p>
        </w:tc>
      </w:tr>
    </w:tbl>
    <w:p>
      <w:pPr>
        <w:pStyle w:val="Normal"/>
        <w:jc w:val="center"/>
        <w:rPr>
          <w:b/>
          <w:sz w:val="22"/>
          <w:u w:val="single"/>
        </w:rPr>
      </w:pPr>
      <w:r>
        <w:rPr>
          <w:b/>
          <w:sz w:val="22"/>
          <w:u w:val="single"/>
        </w:rPr>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90" w:start="90" w:end="0"/>
      <w:rPr/>
    </w:pPr>
    <w:r>
      <w:rPr>
        <w:color w:val="000000"/>
        <w:sz w:val="16"/>
      </w:rPr>
      <w:t>\</w:t>
    </w:r>
    <w:r>
      <w:rPr>
        <w:sz w:val="12"/>
      </w:rPr>
      <w:fldChar w:fldCharType="begin"/>
    </w:r>
    <w:r>
      <w:rPr>
        <w:sz w:val="12"/>
      </w:rPr>
      <w:instrText xml:space="preserve"> FILENAME \p </w:instrText>
    </w:r>
    <w:r>
      <w:rPr>
        <w:sz w:val="12"/>
      </w:rPr>
      <w:fldChar w:fldCharType="separate"/>
    </w:r>
    <w:r>
      <w:rPr>
        <w:sz w:val="12"/>
      </w:rPr>
      <w:t>/mnt/main-storage/datasets/enron-docs/doc/008amd__cargill_.doc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spacing w:lineRule="exact" w:line="240"/>
      <w:jc w:val="center"/>
      <w:outlineLvl w:val="3"/>
    </w:pPr>
    <w:rPr>
      <w:b/>
      <w:sz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spacing w:lineRule="exact" w:line="240"/>
      <w:jc w:val="center"/>
    </w:pPr>
    <w:rPr>
      <w:b/>
      <w:sz w:val="20"/>
      <w:u w:val="single"/>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val="false"/>
    </w:pPr>
    <w:rPr>
      <w:sz w:val="22"/>
    </w:rPr>
  </w:style>
  <w:style w:type="paragraph" w:styleId="BodyTextIndent">
    <w:name w:val="Body Text Indent"/>
    <w:basedOn w:val="Normal"/>
    <w:pPr>
      <w:ind w:hanging="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rPr>
  </w:style>
  <w:style w:type="paragraph" w:styleId="BodyText3">
    <w:name w:val="Body Text 3"/>
    <w:basedOn w:val="Normal"/>
    <w:qFormat/>
    <w:pPr/>
    <w:rPr>
      <w:sz w:val="22"/>
    </w:rPr>
  </w:style>
  <w:style w:type="paragraph" w:styleId="BodyText2">
    <w:name w:val="Body Text 2"/>
    <w:basedOn w:val="Normal"/>
    <w:qFormat/>
    <w:pPr>
      <w:tabs>
        <w:tab w:val="left" w:pos="720" w:leader="none"/>
      </w:tabs>
      <w:jc w:val="both"/>
    </w:pPr>
    <w:rPr>
      <w:sz w:val="22"/>
      <w:szCs w:val="24"/>
    </w:rPr>
  </w:style>
  <w:style w:type="paragraph" w:styleId="BodyTextIndent3">
    <w:name w:val="Body Text Indent 3"/>
    <w:basedOn w:val="Normal"/>
    <w:qFormat/>
    <w:pPr>
      <w:spacing w:lineRule="exact" w:line="240"/>
      <w:ind w:hanging="0" w:start="36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2000-11-10T20:50:00Z</dcterms:created>
  <dc:creator>mheard</dc:creator>
  <dc:description/>
  <dc:language>en-CA</dc:language>
  <cp:lastModifiedBy>spanus</cp:lastModifiedBy>
  <cp:lastPrinted>2000-11-15T12:00:00Z</cp:lastPrinted>
  <dcterms:modified xsi:type="dcterms:W3CDTF">2000-11-15T15:30:00Z</dcterms:modified>
  <cp:revision>6</cp:revision>
  <dc:subject/>
  <dc:title>AMENDMENT TO MASTER AGREEMENT</dc:title>
</cp:coreProperties>
</file>