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cPr>
          <w:p>
            <w:pPr>
              <w:pStyle w:val="Footer"/>
              <w:tabs>
                <w:tab w:val="clear" w:pos="4320"/>
                <w:tab w:val="clear" w:pos="8640"/>
              </w:tabs>
              <w:spacing w:before="20" w:after="0"/>
              <w:rPr>
                <w:rFonts w:ascii="Times New Roman" w:hAnsi="Times New Roman" w:cs="Times New Roman"/>
              </w:rPr>
            </w:pPr>
            <w:r>
              <w:rPr>
                <w:rFonts w:cs="Times New Roman" w:ascii="Times New Roman" w:hAnsi="Times New Roman"/>
              </w:rPr>
              <w:drawing>
                <wp:inline distT="0" distB="0" distL="0" distR="0">
                  <wp:extent cx="1302385" cy="278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45" r="-10" b="-45"/>
                          <a:stretch>
                            <a:fillRect/>
                          </a:stretch>
                        </pic:blipFill>
                        <pic:spPr bwMode="auto">
                          <a:xfrm>
                            <a:off x="0" y="0"/>
                            <a:ext cx="1302385" cy="278130"/>
                          </a:xfrm>
                          <a:prstGeom prst="rect">
                            <a:avLst/>
                          </a:prstGeom>
                          <a:noFill/>
                        </pic:spPr>
                      </pic:pic>
                    </a:graphicData>
                  </a:graphic>
                </wp:inline>
              </w:drawing>
            </w:r>
          </w:p>
        </w:tc>
        <w:tc>
          <w:tcPr>
            <w:tcW w:w="2430" w:type="dxa"/>
            <w:tcBorders/>
          </w:tcPr>
          <w:p>
            <w:pPr>
              <w:pStyle w:val="Normal"/>
              <w:rPr>
                <w:rFonts w:ascii="Times New Roman" w:hAnsi="Times New Roman" w:cs="Times New Roman"/>
              </w:rPr>
            </w:pPr>
            <w:r>
              <w:rPr>
                <w:rFonts w:cs="Times New Roman" w:ascii="Times New Roman" w:hAnsi="Times New Roman"/>
                <w:sz w:val="22"/>
              </w:rPr>
              <w:t xml:space="preserve">NORTH AMERICA </w:t>
            </w:r>
          </w:p>
          <w:p>
            <w:pPr>
              <w:pStyle w:val="Normal"/>
              <w:rPr>
                <w:rFonts w:ascii="Times New Roman" w:hAnsi="Times New Roman" w:cs="Times New Roman"/>
              </w:rPr>
            </w:pPr>
            <w:r>
              <w:rPr>
                <w:rFonts w:cs="Times New Roman" w:ascii="Times New Roman" w:hAnsi="Times New Roman"/>
                <w:i/>
                <w:sz w:val="16"/>
              </w:rPr>
              <w:t>W</w:t>
            </w:r>
            <w:r>
              <w:rPr>
                <w:rFonts w:cs="Times New Roman" w:ascii="Times New Roman" w:hAnsi="Times New Roman"/>
                <w:i/>
                <w:sz w:val="12"/>
              </w:rPr>
              <w:t>ORLDWIDE</w:t>
            </w:r>
            <w:r>
              <w:rPr>
                <w:rFonts w:cs="Times New Roman" w:ascii="Times New Roman" w:hAnsi="Times New Roman"/>
                <w:i/>
              </w:rPr>
              <w:t xml:space="preserve"> </w:t>
            </w:r>
            <w:r>
              <w:rPr>
                <w:rFonts w:cs="Times New Roman" w:ascii="Times New Roman" w:hAnsi="Times New Roman"/>
                <w:i/>
                <w:sz w:val="16"/>
              </w:rPr>
              <w:t>E</w:t>
            </w:r>
            <w:r>
              <w:rPr>
                <w:rFonts w:cs="Times New Roman" w:ascii="Times New Roman" w:hAnsi="Times New Roman"/>
                <w:i/>
                <w:sz w:val="12"/>
              </w:rPr>
              <w:t>NERGY</w:t>
            </w:r>
            <w:r>
              <w:rPr>
                <w:rFonts w:cs="Times New Roman" w:ascii="Times New Roman" w:hAnsi="Times New Roman"/>
                <w:i/>
              </w:rPr>
              <w:t xml:space="preserve"> </w:t>
            </w:r>
            <w:r>
              <w:rPr>
                <w:rFonts w:cs="Times New Roman" w:ascii="Times New Roman" w:hAnsi="Times New Roman"/>
                <w:i/>
                <w:sz w:val="16"/>
              </w:rPr>
              <w:t>S</w:t>
            </w:r>
            <w:r>
              <w:rPr>
                <w:rFonts w:cs="Times New Roman" w:ascii="Times New Roman" w:hAnsi="Times New Roman"/>
                <w:i/>
                <w:sz w:val="12"/>
              </w:rPr>
              <w:t>OLUTIONS</w:t>
            </w:r>
          </w:p>
        </w:tc>
      </w:tr>
    </w:tbl>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6480" w:leader="none"/>
        </w:tabs>
        <w:rPr>
          <w:rFonts w:ascii="Times New Roman" w:hAnsi="Times New Roman" w:cs="Times New Roman"/>
          <w:b/>
          <w:sz w:val="28"/>
        </w:rPr>
      </w:pPr>
      <w:r>
        <w:rPr>
          <w:rFonts w:cs="Times New Roman" w:ascii="Times New Roman" w:hAnsi="Times New Roman"/>
          <w:b/>
          <w:sz w:val="28"/>
        </w:rPr>
        <w:tab/>
        <w:t>Interoffice</w:t>
      </w:r>
    </w:p>
    <w:p>
      <w:pPr>
        <w:pStyle w:val="Normal"/>
        <w:tabs>
          <w:tab w:val="clear" w:pos="720"/>
          <w:tab w:val="left" w:pos="6480" w:leader="none"/>
        </w:tabs>
        <w:rPr>
          <w:rFonts w:ascii="Times New Roman" w:hAnsi="Times New Roman" w:cs="Times New Roman"/>
        </w:rPr>
      </w:pPr>
      <w:r>
        <w:rPr>
          <w:rFonts w:cs="Times New Roman" w:ascii="Times New Roman" w:hAnsi="Times New Roman"/>
          <w:b/>
          <w:sz w:val="28"/>
        </w:rPr>
        <w:tab/>
        <w:t>Memorandum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Clement Abrams</w:t>
        <w:tab/>
        <w:tab/>
        <w:tab/>
        <w:tab/>
        <w:t xml:space="preserve">Department:  </w:t>
        <w:tab/>
        <w:t>ENA - Legal</w:t>
      </w:r>
    </w:p>
    <w:p>
      <w:pPr>
        <w:pStyle w:val="Normal"/>
        <w:tabs>
          <w:tab w:val="clear" w:pos="720"/>
          <w:tab w:val="right" w:pos="900" w:leader="none"/>
        </w:tabs>
        <w:ind w:hanging="1530" w:start="153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Marie Heard</w:t>
        <w:tab/>
        <w:tab/>
        <w:tab/>
        <w:tab/>
        <w:tab/>
        <w:t>Date:</w:t>
        <w:tab/>
        <w:t>July 12,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w:t>
        <w:tab/>
        <w:t>Enron Corp. Guaranty – Inland Paperboard and Packaging, Inc.</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sz w:val="24"/>
        </w:rPr>
        <w:t xml:space="preserve">Attached for your preparation is the form of </w:t>
      </w:r>
      <w:r>
        <w:rPr>
          <w:rFonts w:cs="Times New Roman" w:ascii="Times New Roman" w:hAnsi="Times New Roman"/>
          <w:b/>
          <w:sz w:val="24"/>
        </w:rPr>
        <w:t>Enron Corp. Guaranty</w:t>
      </w:r>
      <w:r>
        <w:rPr>
          <w:rFonts w:cs="Times New Roman" w:ascii="Times New Roman" w:hAnsi="Times New Roman"/>
          <w:sz w:val="24"/>
        </w:rPr>
        <w:t xml:space="preserve"> in favor of the referenced Counterparty, which guarantees the obligations of ENA under an ISDA Master Agreement.  Once prepared, please have the </w:t>
      </w:r>
      <w:r>
        <w:rPr>
          <w:rFonts w:cs="Times New Roman" w:ascii="Times New Roman" w:hAnsi="Times New Roman"/>
          <w:b/>
          <w:sz w:val="24"/>
        </w:rPr>
        <w:t xml:space="preserve">Guaranty </w:t>
      </w:r>
      <w:r>
        <w:rPr>
          <w:rFonts w:cs="Times New Roman" w:ascii="Times New Roman" w:hAnsi="Times New Roman"/>
          <w:sz w:val="24"/>
        </w:rPr>
        <w:t>executed and returned to me (EB3803B).</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b/>
          <w:sz w:val="24"/>
        </w:rPr>
        <w:t xml:space="preserve">In addition, to the above-mentioned Guaranty, also needed is an </w:t>
      </w:r>
      <w:r>
        <w:rPr>
          <w:rFonts w:cs="Times New Roman" w:ascii="Times New Roman" w:hAnsi="Times New Roman"/>
          <w:b/>
          <w:sz w:val="24"/>
          <w:u w:val="single"/>
        </w:rPr>
        <w:t>Enron Corp. Secretary’s Certificate</w:t>
      </w:r>
      <w:r>
        <w:rPr>
          <w:rFonts w:cs="Times New Roman" w:ascii="Times New Roman" w:hAnsi="Times New Roman"/>
          <w:b/>
          <w:sz w:val="24"/>
        </w:rPr>
        <w:t>, as to incumbency of the officer signing the Guaranty.</w:t>
      </w:r>
    </w:p>
    <w:p>
      <w:pPr>
        <w:pStyle w:val="Normal"/>
        <w:pBdr>
          <w:top w:val="single" w:sz="12" w:space="1" w:color="000000"/>
        </w:pBdr>
        <w:rPr>
          <w:rFonts w:ascii="Times New Roman" w:hAnsi="Times New Roman" w:cs="Times New Roman"/>
          <w:b/>
          <w:sz w:val="24"/>
        </w:rPr>
      </w:pPr>
      <w:r>
        <w:rPr>
          <w:rFonts w:cs="Times New Roman" w:ascii="Times New Roman" w:hAnsi="Times New Roman"/>
          <w:b/>
          <w:sz w:val="24"/>
        </w:rPr>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t>Please call me at x33907 to pick up the documents or if you have any questions.  Thank you for your assistance in this matter.</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r>
      <w:r>
        <w:rPr>
          <w:sz w:val="22"/>
          <w:szCs w:val="22"/>
        </w:rPr>
        <w:t xml:space="preserve">July 10,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INLAND PAPERBOARD AND PACKAGING, INC., a Delaware corporation (“Counterparty”), and ENRON NORTH AMERICA CORP., a Delaware corporation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pPr>
            <w:r>
              <w:rPr/>
              <w:t>To Counterparty:</w:t>
            </w:r>
          </w:p>
        </w:tc>
        <w:tc>
          <w:tcPr>
            <w:tcW w:w="333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left" w:pos="3132" w:leader="none"/>
                    </w:tabs>
                    <w:spacing w:lineRule="atLeast" w:line="240"/>
                    <w:rPr>
                      <w:color w:val="000000"/>
                      <w:sz w:val="22"/>
                    </w:rPr>
                  </w:pPr>
                  <w:r>
                    <w:rPr>
                      <w:color w:val="000000"/>
                      <w:sz w:val="22"/>
                    </w:rPr>
                    <w:t>Inland Paperboard and Packaging,</w:t>
                  </w:r>
                </w:p>
                <w:p>
                  <w:pPr>
                    <w:pStyle w:val="Normal"/>
                    <w:keepNext w:val="true"/>
                    <w:keepLines/>
                    <w:tabs>
                      <w:tab w:val="clear" w:pos="720"/>
                      <w:tab w:val="left" w:pos="3132" w:leader="none"/>
                    </w:tabs>
                    <w:spacing w:lineRule="atLeast" w:line="240"/>
                    <w:rPr>
                      <w:color w:val="000000"/>
                      <w:sz w:val="22"/>
                    </w:rPr>
                  </w:pPr>
                  <w:r>
                    <w:rPr>
                      <w:color w:val="000000"/>
                      <w:sz w:val="22"/>
                    </w:rPr>
                    <w:t>Inc.</w:t>
                  </w:r>
                </w:p>
              </w:tc>
            </w:tr>
            <w:tr>
              <w:trPr/>
              <w:tc>
                <w:tcPr>
                  <w:tcW w:w="10188"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4030 Vincennes Road</w:t>
                  </w:r>
                </w:p>
                <w:p>
                  <w:pPr>
                    <w:pStyle w:val="Normal"/>
                    <w:keepNext w:val="true"/>
                    <w:keepLines/>
                    <w:tabs>
                      <w:tab w:val="clear" w:pos="720"/>
                      <w:tab w:val="left" w:pos="3132" w:leader="none"/>
                    </w:tabs>
                    <w:spacing w:lineRule="atLeast" w:line="240"/>
                    <w:rPr>
                      <w:color w:val="000000"/>
                      <w:sz w:val="22"/>
                    </w:rPr>
                  </w:pPr>
                  <w:r>
                    <w:rPr>
                      <w:color w:val="000000"/>
                      <w:sz w:val="22"/>
                    </w:rPr>
                    <w:t>Indianapolis, Indiana 46268-0937</w:t>
                  </w:r>
                </w:p>
              </w:tc>
            </w:tr>
            <w:tr>
              <w:trPr/>
              <w:tc>
                <w:tcPr>
                  <w:tcW w:w="10188" w:type="dxa"/>
                  <w:tcBorders/>
                </w:tcPr>
                <w:p>
                  <w:pPr>
                    <w:pStyle w:val="Normal"/>
                    <w:keepNext w:val="true"/>
                    <w:keepLines/>
                    <w:tabs>
                      <w:tab w:val="clear" w:pos="720"/>
                      <w:tab w:val="left" w:pos="3132" w:leader="none"/>
                    </w:tabs>
                    <w:spacing w:lineRule="atLeast" w:line="240"/>
                    <w:rPr>
                      <w:sz w:val="22"/>
                    </w:rPr>
                  </w:pPr>
                  <w:r>
                    <w:rPr>
                      <w:sz w:val="22"/>
                    </w:rPr>
                    <w:t xml:space="preserve">Attn.: Julie Beck, Vice President, </w:t>
                  </w:r>
                </w:p>
                <w:p>
                  <w:pPr>
                    <w:pStyle w:val="Normal"/>
                    <w:keepNext w:val="true"/>
                    <w:keepLines/>
                    <w:tabs>
                      <w:tab w:val="clear" w:pos="720"/>
                      <w:tab w:val="left" w:pos="3132" w:leader="none"/>
                    </w:tabs>
                    <w:spacing w:lineRule="atLeast" w:line="240"/>
                    <w:rPr>
                      <w:color w:val="000000"/>
                      <w:sz w:val="22"/>
                      <w:szCs w:val="22"/>
                    </w:rPr>
                  </w:pPr>
                  <w:r>
                    <w:rPr>
                      <w:sz w:val="22"/>
                    </w:rPr>
                    <w:t>Finance</w:t>
                  </w:r>
                </w:p>
              </w:tc>
            </w:tr>
            <w:tr>
              <w:trPr/>
              <w:tc>
                <w:tcPr>
                  <w:tcW w:w="10188"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sz w:val="22"/>
                    </w:rPr>
                    <w:t>(317) 337-8860</w:t>
                  </w:r>
                </w:p>
              </w:tc>
            </w:tr>
          </w:tbl>
          <w:p>
            <w:pPr>
              <w:pStyle w:val="Normal"/>
              <w:keepNext w:val="true"/>
              <w:keepLines/>
              <w:tabs>
                <w:tab w:val="clear" w:pos="720"/>
                <w:tab w:val="left" w:pos="3132" w:leader="none"/>
              </w:tabs>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tc>
      </w:tr>
    </w:tbl>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July ___,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4"/>
          <w:szCs w:val="22"/>
        </w:rPr>
      </w:pPr>
      <w:r>
        <w:rPr>
          <w:sz w:val="24"/>
          <w:szCs w:val="22"/>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/mnt/main-storage/datasets/enron-docs/doc/007memo.doc</w:t>
    </w:r>
    <w:r>
      <w:rPr>
        <w:sz w:val="12"/>
        <w:b/>
        <w:rFonts w:cs="Times New Roman" w:ascii="Times New Roman" w:hAnsi="Times New Roman"/>
      </w:rPr>
      <w:fldChar w:fldCharType="end"/>
    </w:r>
  </w:p>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pBdr>
        <w:top w:val="single" w:sz="6" w:space="1" w:color="000000"/>
      </w:pBdr>
      <w:tabs>
        <w:tab w:val="clear" w:pos="4320"/>
        <w:tab w:val="clear" w:pos="8640"/>
        <w:tab w:val="center" w:pos="5040" w:leader="none"/>
        <w:tab w:val="right" w:pos="9270" w:leader="none"/>
        <w:tab w:val="right" w:pos="12780" w:leader="none"/>
      </w:tabs>
      <w:ind w:end="90"/>
      <w:rPr>
        <w:rFonts w:ascii="Times New Roman" w:hAnsi="Times New Roman" w:cs="Times New Roman"/>
        <w:b/>
        <w:sz w:val="16"/>
      </w:rPr>
    </w:pPr>
    <w:r>
      <w:rPr>
        <w:rFonts w:cs="Times New Roman" w:ascii="Times New Roman" w:hAnsi="Times New Roman"/>
        <w:b/>
        <w:sz w:val="16"/>
      </w:rPr>
      <w:t>Your Personal Best Makes Enron Best</w:t>
      <w:tab/>
      <w:t>Communicate - Facts Are Friendly</w:t>
      <w:tab/>
      <w:t>Better, Faster, Simpler</w:t>
    </w:r>
  </w:p>
  <w:p>
    <w:pPr>
      <w:pStyle w:val="Footer"/>
      <w:tabs>
        <w:tab w:val="clear" w:pos="4320"/>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center" w:pos="3870" w:leader="none"/>
        <w:tab w:val="right" w:pos="8640" w:leader="none"/>
      </w:tabs>
      <w:rPr>
        <w:rFonts w:ascii="Times New Roman" w:hAnsi="Times New Roman" w:cs="Times New Roman"/>
        <w:b/>
        <w:sz w:val="16"/>
      </w:rPr>
    </w:pPr>
    <w:r>
      <w:rPr>
        <w:rFonts w:cs="Times New Roman" w:ascii="Times New Roman" w:hAnsi="Times New Roman"/>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/mnt/main-storage/datasets/enron-docs/doc/007memo.doc</w:t>
    </w:r>
    <w:r>
      <w:rPr>
        <w:sz w:val="12"/>
        <w:b/>
        <w:rFonts w:cs="Times New Roman" w:ascii="Times New Roman" w:hAnsi="Times New Roman"/>
      </w:rPr>
      <w:fldChar w:fldCharType="end"/>
    </w:r>
  </w:p>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pBdr>
        <w:top w:val="single" w:sz="6" w:space="1" w:color="000000"/>
      </w:pBdr>
      <w:tabs>
        <w:tab w:val="clear" w:pos="4320"/>
        <w:tab w:val="clear" w:pos="8640"/>
        <w:tab w:val="center" w:pos="5040" w:leader="none"/>
        <w:tab w:val="right" w:pos="9270" w:leader="none"/>
        <w:tab w:val="right" w:pos="12780" w:leader="none"/>
      </w:tabs>
      <w:ind w:end="90"/>
      <w:rPr>
        <w:rFonts w:ascii="Times New Roman" w:hAnsi="Times New Roman" w:cs="Times New Roman"/>
        <w:b/>
        <w:sz w:val="16"/>
      </w:rPr>
    </w:pPr>
    <w:r>
      <w:rPr>
        <w:rFonts w:cs="Times New Roman" w:ascii="Times New Roman" w:hAnsi="Times New Roman"/>
        <w:b/>
        <w:sz w:val="16"/>
      </w:rPr>
      <w:t>Your Personal Best Makes Enron Best</w:t>
      <w:tab/>
      <w:t>Communicate - Facts Are Friendly</w:t>
      <w:tab/>
      <w:t>Better, Faster, Simpler</w:t>
    </w:r>
  </w:p>
  <w:p>
    <w:pPr>
      <w:pStyle w:val="Footer"/>
      <w:tabs>
        <w:tab w:val="clear" w:pos="4320"/>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center" w:pos="3870" w:leader="none"/>
        <w:tab w:val="right" w:pos="8640" w:leader="none"/>
      </w:tabs>
      <w:rPr>
        <w:rFonts w:ascii="Times New Roman" w:hAnsi="Times New Roman" w:cs="Times New Roman"/>
        <w:b/>
        <w:sz w:val="16"/>
      </w:rPr>
    </w:pPr>
    <w:r>
      <w:rPr>
        <w:rFonts w:cs="Times New Roman" w:ascii="Times New Roman" w:hAnsi="Times New Roman"/>
        <w:b/>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spacing w:lineRule="exact" w:line="240"/>
      <w:ind w:firstLine="720" w:start="720" w:end="0"/>
      <w:jc w:val="both"/>
    </w:pPr>
    <w:rPr>
      <w:rFonts w:ascii="Times New Roman" w:hAnsi="Times New Roman" w:cs="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2001-07-12T12:46:00Z</dcterms:created>
  <dc:creator>tjones</dc:creator>
  <dc:description/>
  <cp:keywords>Belco</cp:keywords>
  <dc:language>en-CA</dc:language>
  <cp:lastModifiedBy>mheard</cp:lastModifiedBy>
  <cp:lastPrinted>2001-05-24T08:50:00Z</cp:lastPrinted>
  <dcterms:modified xsi:type="dcterms:W3CDTF">2001-07-12T12:49:00Z</dcterms:modified>
  <cp:revision>3</cp:revision>
  <dc:subject>Belco</dc:subject>
  <dc:title>memo to Jon Bourne</dc:title>
</cp:coreProperties>
</file>