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Master Agreement dated as of October ___, 2001 (this “Amendment”), is made and entered into by and between 3TEC Energy Corporation, successor by merger to Middle Bay Oil Company, Inc. (“Counterparty”) and Enron North America Corp. (“ENA”).</w:t>
      </w:r>
    </w:p>
    <w:p>
      <w:pPr>
        <w:pStyle w:val="Normal"/>
        <w:jc w:val="both"/>
        <w:rPr>
          <w:sz w:val="22"/>
        </w:rPr>
      </w:pPr>
      <w:r>
        <w:rPr>
          <w:sz w:val="22"/>
        </w:rPr>
      </w:r>
    </w:p>
    <w:p>
      <w:pPr>
        <w:pStyle w:val="Normal"/>
        <w:jc w:val="both"/>
        <w:rPr>
          <w:sz w:val="22"/>
        </w:rPr>
      </w:pPr>
      <w:r>
        <w:rPr>
          <w:sz w:val="22"/>
        </w:rPr>
        <w:tab/>
        <w:t>WHEREAS, Counterparty and Enron Capital &amp; Trade Resources Corp., currently known as ENA, entered into that certain Master Agreement dated as of April 14, 1999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BodyText"/>
        <w:rPr/>
      </w:pPr>
      <w:r>
        <w:rPr/>
        <w:t>1.</w:t>
        <w:tab/>
        <w:t>Section 5(f) of the Master Agreement is hereby amended to read as follows:</w:t>
      </w:r>
    </w:p>
    <w:p>
      <w:pPr>
        <w:pStyle w:val="Normal"/>
        <w:jc w:val="both"/>
        <w:rPr>
          <w:sz w:val="22"/>
        </w:rPr>
      </w:pPr>
      <w:r>
        <w:rPr>
          <w:sz w:val="22"/>
        </w:rPr>
      </w:r>
    </w:p>
    <w:p>
      <w:pPr>
        <w:pStyle w:val="BlockText"/>
        <w:rPr/>
      </w:pPr>
      <w:r>
        <w:rPr/>
        <w:t>“</w:t>
      </w:r>
      <w:r>
        <w:rPr/>
        <w:t>(f) the failure in the payment when due (whether at maturity, by acceleration, or otherwise) of any obligation in respect of borrowed money, in an aggregate amount in excess of $4,000,000 with respect to Counterparty, $100,000,000 with respect to ENA, and $100,000,000 with respect to ENA's Credit Support Provider, and the failure to remedy such failure within any applicable grace period, or the failure by any of the foregoing,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BlockText"/>
        <w:rPr/>
      </w:pPr>
      <w:r>
        <w:rPr/>
      </w:r>
    </w:p>
    <w:p>
      <w:pPr>
        <w:pStyle w:val="Normal"/>
        <w:numPr>
          <w:ilvl w:val="0"/>
          <w:numId w:val="2"/>
        </w:numPr>
        <w:ind w:hanging="0" w:start="0" w:end="0"/>
        <w:jc w:val="both"/>
        <w:rPr>
          <w:sz w:val="22"/>
        </w:rPr>
      </w:pPr>
      <w:r>
        <w:rPr>
          <w:sz w:val="22"/>
        </w:rPr>
        <w:t>Section 9 of the Master Agreement is hereby deleted in its entirety and replaced with the following:</w:t>
      </w:r>
    </w:p>
    <w:p>
      <w:pPr>
        <w:pStyle w:val="Normal"/>
        <w:spacing w:lineRule="exact" w:line="240" w:before="240" w:after="0"/>
        <w:ind w:start="720" w:end="720"/>
        <w:jc w:val="both"/>
        <w:rPr/>
      </w:pPr>
      <w:r>
        <w:rPr>
          <w:sz w:val="22"/>
        </w:rPr>
        <w:t>“</w:t>
      </w:r>
      <w:r>
        <w:rPr>
          <w:sz w:val="22"/>
        </w:rPr>
        <w:t xml:space="preserve">9.  </w:t>
      </w:r>
      <w:r>
        <w:rPr>
          <w:b/>
          <w:sz w:val="22"/>
          <w:u w:val="single"/>
        </w:rPr>
        <w:t>Setoff</w:t>
      </w:r>
      <w:r>
        <w:rPr>
          <w:sz w:val="22"/>
        </w:rPr>
        <w:t xml:space="preserve">.  </w:t>
      </w:r>
      <w:r>
        <w:rPr>
          <w:color w:val="000000"/>
          <w:sz w:val="22"/>
          <w:szCs w:val="22"/>
        </w:rPr>
        <w:t>Upon the designation of an Early Termination Date or an Accelerated Termination Date the non-defaulting party or the party payor of the Payment Amount, respectively (in either case, "</w:t>
      </w:r>
      <w:r>
        <w:rPr>
          <w:color w:val="000000"/>
          <w:sz w:val="22"/>
          <w:szCs w:val="22"/>
          <w:u w:val="single"/>
        </w:rPr>
        <w:t>X</w:t>
      </w:r>
      <w:r>
        <w:rPr>
          <w:color w:val="000000"/>
          <w:sz w:val="22"/>
          <w:szCs w:val="22"/>
        </w:rPr>
        <w:t>"), may at its option and in its discretion, setoff, against any amounts Owed to the Defaulting Party or the party payee of the Payment Amount, respectively (in either case, "</w:t>
      </w:r>
      <w:r>
        <w:rPr>
          <w:color w:val="000000"/>
          <w:sz w:val="22"/>
          <w:szCs w:val="22"/>
          <w:u w:val="single"/>
        </w:rPr>
        <w:t>Y</w:t>
      </w:r>
      <w:r>
        <w:rPr>
          <w:color w:val="000000"/>
          <w:sz w:val="22"/>
          <w:szCs w:val="22"/>
        </w:rPr>
        <w:t>"),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w:t>
      </w:r>
      <w:r>
        <w:rPr>
          <w:color w:val="000000"/>
          <w:sz w:val="22"/>
          <w:szCs w:val="22"/>
          <w:u w:val="single"/>
        </w:rPr>
        <w:t>Owed</w:t>
      </w:r>
      <w:r>
        <w:rPr>
          <w:color w:val="000000"/>
          <w:sz w:val="22"/>
          <w:szCs w:val="22"/>
        </w:rPr>
        <w:t>" shall mean any amounts owed or otherwise accrued and payable (regardless of whether such amounts have been or could be invoiced) as of the Early Termination Date or the Accelerated Termination Date, as applicable.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  Notwithstanding any provision to the contrary contained in this Agreement, the non-defaulting party or party payor of the Payment Amount, as the case may be, shall not be required to pay to the Defaulting Party or the party payee of the Payment Amount any amount under Sections 6 or 7, respectively, until the non-defaulting party or party payor of the Payment Amount receives confirmation satisfactory to it in its reasonable discretion (which may include an opinion of its counsel) that all other obligations of any kind whatsoever of the Defaulting Party or of the party payee of the Payment Amount to make any payments to the non-defaulting party or the party payor of the Payment Amount or any of its Affiliates under this Agreement or under any other agreement(s), instrument(s) or undertaking(s), which are Owed as of the Early Termination Date or the Accelerated Termination Date hereof, respectively, have been fully and finally satisfied.”</w:t>
      </w:r>
    </w:p>
    <w:p>
      <w:pPr>
        <w:pStyle w:val="Normal"/>
        <w:ind w:start="720" w:end="720"/>
        <w:jc w:val="both"/>
        <w:rPr>
          <w:color w:val="000000"/>
          <w:sz w:val="22"/>
          <w:szCs w:val="22"/>
        </w:rPr>
      </w:pPr>
      <w:r>
        <w:rPr>
          <w:color w:val="000000"/>
          <w:sz w:val="22"/>
          <w:szCs w:val="22"/>
        </w:rPr>
      </w:r>
    </w:p>
    <w:p>
      <w:pPr>
        <w:pStyle w:val="BodyText"/>
        <w:numPr>
          <w:ilvl w:val="0"/>
          <w:numId w:val="2"/>
        </w:numPr>
        <w:ind w:hanging="0" w:start="0" w:end="0"/>
        <w:rPr/>
      </w:pPr>
      <w:r>
        <w:rPr/>
        <w:t>The Master Agreement is hereby amended to add a new Section 11 and to renumber the existing Section 11 to be “Section 12”:</w:t>
      </w:r>
    </w:p>
    <w:p>
      <w:pPr>
        <w:pStyle w:val="Normal"/>
        <w:jc w:val="both"/>
        <w:rPr>
          <w:sz w:val="22"/>
        </w:rPr>
      </w:pPr>
      <w:r>
        <w:rPr>
          <w:sz w:val="22"/>
        </w:rPr>
      </w:r>
    </w:p>
    <w:p>
      <w:pPr>
        <w:pStyle w:val="Normal"/>
        <w:tabs>
          <w:tab w:val="clear" w:pos="720"/>
          <w:tab w:val="left" w:pos="810" w:leader="none"/>
          <w:tab w:val="left" w:pos="1170" w:leader="none"/>
        </w:tabs>
        <w:ind w:start="720" w:end="720"/>
        <w:jc w:val="both"/>
        <w:rPr/>
      </w:pPr>
      <w:r>
        <w:rPr>
          <w:sz w:val="22"/>
        </w:rPr>
        <w:t>“</w:t>
      </w:r>
      <w:r>
        <w:rPr>
          <w:sz w:val="22"/>
        </w:rPr>
        <w:t xml:space="preserve">11.  </w:t>
      </w:r>
      <w:r>
        <w:rPr>
          <w:b/>
          <w:sz w:val="22"/>
          <w:u w:val="single"/>
        </w:rPr>
        <w:t>Severability</w:t>
      </w:r>
      <w:r>
        <w:rPr>
          <w:sz w:val="22"/>
        </w:rPr>
        <w:t>.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provided, this Section 11 shall not be applicable if any provision of the introductory paragraph prior to Section 1 or Sections 2, 5, or 6 (or any related definition)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4.</w:t>
        <w:tab/>
        <w:t xml:space="preserve">The definition of “Funded Debt” contained in </w:t>
      </w:r>
      <w:r>
        <w:rPr>
          <w:u w:val="single"/>
        </w:rPr>
        <w:t>Annex A – Collateral Annex</w:t>
      </w:r>
      <w:r>
        <w:rPr/>
        <w:t>, Section 1 is hereby deleted in its entirety.</w:t>
      </w:r>
    </w:p>
    <w:p>
      <w:pPr>
        <w:pStyle w:val="Normal"/>
        <w:jc w:val="both"/>
        <w:rPr>
          <w:sz w:val="22"/>
        </w:rPr>
      </w:pPr>
      <w:r>
        <w:rPr>
          <w:sz w:val="22"/>
        </w:rPr>
      </w:r>
    </w:p>
    <w:p>
      <w:pPr>
        <w:pStyle w:val="Normal"/>
        <w:jc w:val="both"/>
        <w:rPr/>
      </w:pPr>
      <w:r>
        <w:rPr>
          <w:sz w:val="22"/>
        </w:rPr>
        <w:t>5.</w:t>
        <w:tab/>
        <w:t xml:space="preserve">The definition of “Exposure Threshold” contained in </w:t>
      </w:r>
      <w:r>
        <w:rPr>
          <w:sz w:val="22"/>
          <w:u w:val="single"/>
        </w:rPr>
        <w:t>Annex A - Collateral Annex</w:t>
      </w:r>
      <w:r>
        <w:rPr>
          <w:sz w:val="22"/>
        </w:rPr>
        <w:t>, Section 1.  Definitions, is amended by (i) deleting the figure for ENA of “$10,000,000” and replacing it with the figure of “$20,000,000”, and (ii) deleting the figure for Counterparty of “$150,000” and replacing it with the figure of “$4,000,000”.</w:t>
      </w:r>
    </w:p>
    <w:p>
      <w:pPr>
        <w:pStyle w:val="Normal"/>
        <w:ind w:start="720" w:end="720"/>
        <w:jc w:val="both"/>
        <w:rPr>
          <w:sz w:val="22"/>
        </w:rPr>
      </w:pPr>
      <w:r>
        <w:rPr>
          <w:sz w:val="22"/>
        </w:rPr>
      </w:r>
    </w:p>
    <w:p>
      <w:pPr>
        <w:pStyle w:val="Normal"/>
        <w:jc w:val="both"/>
        <w:rPr/>
      </w:pPr>
      <w:r>
        <w:rPr>
          <w:sz w:val="22"/>
        </w:rPr>
        <w:t>6.</w:t>
        <w:tab/>
        <w:t xml:space="preserve">The definition of “Material Adverse Change” contained in </w:t>
      </w:r>
      <w:r>
        <w:rPr>
          <w:sz w:val="22"/>
          <w:u w:val="single"/>
        </w:rPr>
        <w:t>Annex A – Collateral Annex</w:t>
      </w:r>
      <w:r>
        <w:rPr>
          <w:sz w:val="22"/>
        </w:rPr>
        <w:t>, Section 1 is hereby deleted in its entirety and replaced with the following:</w:t>
      </w:r>
    </w:p>
    <w:p>
      <w:pPr>
        <w:pStyle w:val="Normal"/>
        <w:jc w:val="both"/>
        <w:rPr>
          <w:sz w:val="22"/>
        </w:rPr>
      </w:pPr>
      <w:r>
        <w:rPr>
          <w:sz w:val="22"/>
        </w:rPr>
      </w:r>
    </w:p>
    <w:p>
      <w:pPr>
        <w:pStyle w:val="Normal"/>
        <w:ind w:start="720" w:end="0"/>
        <w:jc w:val="both"/>
        <w:rPr/>
      </w:pPr>
      <w:r>
        <w:rPr>
          <w:sz w:val="22"/>
        </w:rPr>
        <w:t>“‘</w:t>
      </w:r>
      <w:r>
        <w:rPr>
          <w:sz w:val="22"/>
          <w:u w:val="single"/>
        </w:rPr>
        <w:t>Material Adverse Change</w:t>
      </w:r>
      <w:r>
        <w:rPr>
          <w:sz w:val="22"/>
        </w:rPr>
        <w:t>’ means, (a) with respect to ENA, its Credit Support Provider’s Credit Rating is rated below “BBB-” by S&amp;P; or (b) with respect to Counterparty, it shall have any of the following occur at any time:  (i) its Net Worth falls below U.S. $150,000,000, or (ii) its EBITDA Coverage Ratio shall be less than 5 to 1.”</w:t>
      </w:r>
    </w:p>
    <w:p>
      <w:pPr>
        <w:pStyle w:val="Normal"/>
        <w:jc w:val="both"/>
        <w:rPr>
          <w:sz w:val="22"/>
        </w:rPr>
      </w:pPr>
      <w:r>
        <w:rPr>
          <w:sz w:val="22"/>
        </w:rPr>
      </w:r>
    </w:p>
    <w:p>
      <w:pPr>
        <w:pStyle w:val="Normal"/>
        <w:jc w:val="both"/>
        <w:rPr>
          <w:sz w:val="22"/>
        </w:rPr>
      </w:pPr>
      <w:r>
        <w:rPr>
          <w:sz w:val="22"/>
        </w:rPr>
        <w:t>7.</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sz w:val="22"/>
              </w:rPr>
            </w:pPr>
            <w:r>
              <w:rPr>
                <w:sz w:val="22"/>
              </w:rPr>
              <w:t>formerly known as Enron Capital &amp; Trade</w:t>
            </w:r>
          </w:p>
          <w:p>
            <w:pPr>
              <w:pStyle w:val="Normal"/>
              <w:spacing w:lineRule="exact" w:line="240"/>
              <w:jc w:val="both"/>
              <w:rPr>
                <w:sz w:val="22"/>
              </w:rPr>
            </w:pPr>
            <w:r>
              <w:rPr>
                <w:sz w:val="22"/>
              </w:rPr>
              <w:t>Resources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3TEC ENERGY CORPORATION,</w:t>
            </w:r>
          </w:p>
          <w:p>
            <w:pPr>
              <w:pStyle w:val="Normal"/>
              <w:spacing w:lineRule="exact" w:line="240"/>
              <w:jc w:val="both"/>
              <w:rPr>
                <w:sz w:val="22"/>
              </w:rPr>
            </w:pPr>
            <w:r>
              <w:rPr>
                <w:sz w:val="22"/>
              </w:rPr>
              <w:t>successor by merger to Middle Bay Oil</w:t>
            </w:r>
          </w:p>
          <w:p>
            <w:pPr>
              <w:pStyle w:val="Normal"/>
              <w:spacing w:lineRule="exact" w:line="240"/>
              <w:jc w:val="both"/>
              <w:rPr>
                <w:sz w:val="22"/>
              </w:rPr>
            </w:pPr>
            <w:r>
              <w:rPr>
                <w:sz w:val="22"/>
              </w:rPr>
              <w:t>Company,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/mnt/main-storage/datasets/enron-docs/doc/006amend_3tec_.doc</w:t>
    </w:r>
    <w:r>
      <w:rPr>
        <w:sz w:val="16"/>
      </w:rPr>
      <w:fldChar w:fldCharType="end"/>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2001-10-16T16:25:00Z</dcterms:created>
  <dc:creator>mheard</dc:creator>
  <dc:description/>
  <dc:language>en-CA</dc:language>
  <cp:lastModifiedBy>mheard</cp:lastModifiedBy>
  <cp:lastPrinted>2001-10-26T11:20:00Z</cp:lastPrinted>
  <dcterms:modified xsi:type="dcterms:W3CDTF">2001-10-26T13:50:00Z</dcterms:modified>
  <cp:revision>7</cp:revision>
  <dc:subject/>
  <dc:title>AMENDMENT TO MASTER AGREEMENT</dc:title>
</cp:coreProperties>
</file>