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media/image2.emf" ContentType="image/x-e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MemoText"/>
        <w:rPr/>
      </w:pPr>
      <w:r>
        <w:rPr/>
        <w:t>MEMORANDUM</w:t>
      </w:r>
    </w:p>
    <w:tbl>
      <w:tblPr>
        <w:tblW w:w="9810" w:type="dxa"/>
        <w:jc w:val="start"/>
        <w:tblInd w:w="0" w:type="dxa"/>
        <w:tblLayout w:type="fixed"/>
        <w:tblCellMar>
          <w:top w:w="0" w:type="dxa"/>
          <w:start w:w="107" w:type="dxa"/>
          <w:bottom w:w="0" w:type="dxa"/>
          <w:end w:w="107" w:type="dxa"/>
        </w:tblCellMar>
      </w:tblPr>
      <w:tblGrid>
        <w:gridCol w:w="794"/>
        <w:gridCol w:w="4423"/>
        <w:gridCol w:w="794"/>
        <w:gridCol w:w="3799"/>
      </w:tblGrid>
      <w:tr>
        <w:trPr/>
        <w:tc>
          <w:tcPr>
            <w:tcW w:w="794" w:type="dxa"/>
            <w:tcBorders/>
          </w:tcPr>
          <w:p>
            <w:pPr>
              <w:pStyle w:val="zMemoTable"/>
              <w:rPr/>
            </w:pPr>
            <w:r>
              <w:rPr/>
              <w:t>to:</w:t>
            </w:r>
          </w:p>
        </w:tc>
        <w:tc>
          <w:tcPr>
            <w:tcW w:w="4423" w:type="dxa"/>
            <w:tcBorders/>
          </w:tcPr>
          <w:p>
            <w:pPr>
              <w:pStyle w:val="zMemoTable"/>
              <w:ind w:end="170"/>
              <w:rPr/>
            </w:pPr>
            <w:bookmarkStart w:id="0" w:name="To"/>
            <w:bookmarkEnd w:id="0"/>
            <w:r>
              <w:rPr/>
              <w:t>Edmund Cooper</w:t>
            </w:r>
          </w:p>
        </w:tc>
        <w:tc>
          <w:tcPr>
            <w:tcW w:w="794" w:type="dxa"/>
            <w:tcBorders/>
          </w:tcPr>
          <w:p>
            <w:pPr>
              <w:pStyle w:val="zMemoTable"/>
              <w:rPr/>
            </w:pPr>
            <w:r>
              <w:rPr/>
              <w:t>date:</w:t>
            </w:r>
          </w:p>
        </w:tc>
        <w:tc>
          <w:tcPr>
            <w:tcW w:w="3799" w:type="dxa"/>
            <w:tcBorders/>
          </w:tcPr>
          <w:p>
            <w:pPr>
              <w:pStyle w:val="zMemoTable"/>
              <w:rPr/>
            </w:pPr>
            <w:bookmarkStart w:id="1" w:name="Date"/>
            <w:bookmarkEnd w:id="1"/>
            <w:r>
              <w:rPr/>
              <w:t>22nd June 2000</w:t>
            </w:r>
          </w:p>
        </w:tc>
      </w:tr>
      <w:tr>
        <w:trPr/>
        <w:tc>
          <w:tcPr>
            <w:tcW w:w="794" w:type="dxa"/>
            <w:tcBorders/>
          </w:tcPr>
          <w:p>
            <w:pPr>
              <w:pStyle w:val="zMemoTable"/>
              <w:spacing w:before="240" w:after="240"/>
              <w:rPr/>
            </w:pPr>
            <w:r>
              <w:rPr/>
              <w:t>from:</w:t>
            </w:r>
          </w:p>
        </w:tc>
        <w:tc>
          <w:tcPr>
            <w:tcW w:w="4423" w:type="dxa"/>
            <w:tcBorders/>
          </w:tcPr>
          <w:p>
            <w:pPr>
              <w:pStyle w:val="zMemoTable"/>
              <w:spacing w:before="240" w:after="240"/>
              <w:ind w:end="170"/>
              <w:rPr/>
            </w:pPr>
            <w:bookmarkStart w:id="2" w:name="From"/>
            <w:bookmarkEnd w:id="2"/>
            <w:r>
              <w:rPr/>
              <w:t>RGS</w:t>
            </w:r>
          </w:p>
        </w:tc>
        <w:tc>
          <w:tcPr>
            <w:tcW w:w="794" w:type="dxa"/>
            <w:tcBorders/>
          </w:tcPr>
          <w:p>
            <w:pPr>
              <w:pStyle w:val="zMemoTable"/>
              <w:spacing w:before="240" w:after="240"/>
              <w:rPr/>
            </w:pPr>
            <w:bookmarkStart w:id="3" w:name="FileLabel"/>
            <w:bookmarkEnd w:id="3"/>
            <w:r>
              <w:rPr/>
              <w:t>file:</w:t>
            </w:r>
          </w:p>
        </w:tc>
        <w:tc>
          <w:tcPr>
            <w:tcW w:w="3799" w:type="dxa"/>
            <w:tcBorders/>
          </w:tcPr>
          <w:p>
            <w:pPr>
              <w:pStyle w:val="zMemoTable"/>
              <w:spacing w:before="240" w:after="240"/>
              <w:rPr/>
            </w:pPr>
            <w:bookmarkStart w:id="4" w:name="File"/>
            <w:r>
              <w:rPr/>
              <w:t xml:space="preserve">00-19199 </w:t>
            </w:r>
            <w:bookmarkEnd w:id="4"/>
          </w:p>
        </w:tc>
      </w:tr>
    </w:tbl>
    <w:p>
      <w:pPr>
        <w:pStyle w:val="RBSingleText"/>
        <w:rPr/>
      </w:pPr>
      <w:r>
        <w:rPr/>
      </w:r>
      <w:bookmarkStart w:id="5" w:name="Draft"/>
      <w:bookmarkStart w:id="6" w:name="CopyText"/>
      <w:bookmarkStart w:id="7" w:name="Draft"/>
      <w:bookmarkStart w:id="8" w:name="CopyText"/>
      <w:bookmarkEnd w:id="7"/>
      <w:bookmarkEnd w:id="8"/>
    </w:p>
    <w:p>
      <w:pPr>
        <w:pStyle w:val="SubjectHeading"/>
        <w:rPr/>
      </w:pPr>
      <w:bookmarkStart w:id="9" w:name="Header"/>
      <w:bookmarkStart w:id="10" w:name="Remarks"/>
      <w:bookmarkEnd w:id="9"/>
      <w:bookmarkEnd w:id="10"/>
      <w:r>
        <w:rPr/>
        <w:t>METAL GTCs</w:t>
      </w:r>
    </w:p>
    <w:p>
      <w:pPr>
        <w:pStyle w:val="SubjectHeading"/>
        <w:rPr/>
      </w:pPr>
      <w:r>
        <w:rPr/>
      </w:r>
    </w:p>
    <w:p>
      <w:pPr>
        <w:pStyle w:val="RBBodyText"/>
        <w:rPr/>
      </w:pPr>
      <w:bookmarkStart w:id="11" w:name="Start"/>
      <w:bookmarkEnd w:id="11"/>
      <w:r>
        <w:rPr/>
        <w:t>In the light of our several telephone conversations over the last few days, I have amended the Metal GTCs and attach with this message a redraft.  I will make a number of comments by reference to specific paragraph numbers, but the GTCs are now “generic” and not limited to any particular product and they are now “balanced” inasmuch as they seek to give no particular advantage to either Seller or Buyer in a number of material respects.</w:t>
      </w:r>
    </w:p>
    <w:p>
      <w:pPr>
        <w:pStyle w:val="RBBodyText"/>
        <w:rPr/>
      </w:pPr>
      <w:r>
        <w:rPr/>
        <w:t>In our most recent conversation, you said there would now only be 2 different delivery bases: For copper it will be “in warehouse”.  For aluminium you will clarify whether it is to be delivered in a way analogous to CPT or DDU/DDP etc. Given only 2 bases, it seems sensible for the terms relevant to each of those delivery bases to be set out in the long description.</w:t>
      </w:r>
    </w:p>
    <w:p>
      <w:pPr>
        <w:pStyle w:val="RBBodyText"/>
        <w:rPr/>
      </w:pPr>
      <w:r>
        <w:rPr/>
        <w:t>With that introduction, the following are my comments by reference to the paragraph numbers:</w:t>
      </w:r>
    </w:p>
    <w:p>
      <w:pPr>
        <w:pStyle w:val="RBBodyText"/>
        <w:rPr/>
      </w:pPr>
      <w:r>
        <w:rPr>
          <w:rStyle w:val="GillBold"/>
        </w:rPr>
        <w:t>2</w:t>
        <w:tab/>
        <w:t>Description, Quality and Weight</w:t>
      </w:r>
    </w:p>
    <w:p>
      <w:pPr>
        <w:pStyle w:val="RBBodyText"/>
        <w:rPr/>
      </w:pPr>
      <w:r>
        <w:rPr/>
        <w:t>All of this will now be contained both in the short and in the long descriptions on the website.</w:t>
      </w:r>
    </w:p>
    <w:p>
      <w:pPr>
        <w:pStyle w:val="RBBodyText"/>
        <w:rPr/>
      </w:pPr>
      <w:r>
        <w:rPr>
          <w:rStyle w:val="GillBold"/>
        </w:rPr>
        <w:t>3</w:t>
        <w:tab/>
        <w:t>DELIVERY</w:t>
      </w:r>
    </w:p>
    <w:p>
      <w:pPr>
        <w:pStyle w:val="RBBodyText"/>
        <w:rPr/>
      </w:pPr>
      <w:r>
        <w:rPr/>
        <w:t>Delivery, the Delivery Point, the Delivery Period and, if relevant, the Delivery Date shall again be as specified in the long description.</w:t>
      </w:r>
    </w:p>
    <w:p>
      <w:pPr>
        <w:pStyle w:val="RBBodyText"/>
        <w:rPr/>
      </w:pPr>
      <w:r>
        <w:rPr/>
        <w:t>You will see that in 3.3 I have sought to include a provision that deliveries of identical goods, at identical places, at the identical time, can be netted off as between Buyer and Seller.  I assume that this is what you had in mind.</w:t>
      </w:r>
    </w:p>
    <w:p>
      <w:pPr>
        <w:pStyle w:val="RBBodyText"/>
        <w:rPr/>
      </w:pPr>
      <w:r>
        <w:rPr>
          <w:rStyle w:val="GillBold"/>
        </w:rPr>
        <w:t>4</w:t>
        <w:tab/>
        <w:t>Price and payment</w:t>
      </w:r>
    </w:p>
    <w:p>
      <w:pPr>
        <w:pStyle w:val="RBBodyText"/>
        <w:rPr/>
      </w:pPr>
      <w:r>
        <w:rPr>
          <w:rStyle w:val="GillBold"/>
        </w:rPr>
        <w:t>4.2</w:t>
      </w:r>
      <w:r>
        <w:rPr/>
        <w:tab/>
        <w:tab/>
        <w:t xml:space="preserve">Again there has to be a link here back to the website.  </w:t>
      </w:r>
    </w:p>
    <w:p>
      <w:pPr>
        <w:pStyle w:val="RBBodyText"/>
        <w:ind w:hanging="1134" w:start="1134" w:end="0"/>
        <w:rPr/>
      </w:pPr>
      <w:r>
        <w:rPr>
          <w:rStyle w:val="GillBold"/>
        </w:rPr>
        <w:t>4.2(</w:t>
      </w:r>
      <w:r>
        <w:rPr>
          <w:rStyle w:val="GillBold"/>
          <w:caps w:val="false"/>
          <w:smallCaps w:val="false"/>
        </w:rPr>
        <w:t>b</w:t>
      </w:r>
      <w:r>
        <w:rPr>
          <w:rStyle w:val="GillBold"/>
        </w:rPr>
        <w:t>)</w:t>
      </w:r>
      <w:r>
        <w:rPr/>
        <w:tab/>
        <w:t>Given that there will now be alternative delivery bases, this section is inevitably somewhat vague.  For that reason, you will see that I have included the words “or as stipulated on this website” at the bottom of the section. Once we are sure of the delivery bases we ought to be able to tighten this up.</w:t>
      </w:r>
    </w:p>
    <w:p>
      <w:pPr>
        <w:pStyle w:val="RBBodyText"/>
        <w:ind w:hanging="1134" w:start="1134" w:end="0"/>
        <w:rPr/>
      </w:pPr>
      <w:r>
        <w:rPr>
          <w:rStyle w:val="GillBold"/>
        </w:rPr>
        <w:t>4.3</w:t>
      </w:r>
      <w:r>
        <w:rPr/>
        <w:tab/>
        <w:t>Time for payment under English law is not “of the essence”.  Frequently, people assume that it is, and for that reason it may be that this is a provision you want to include in the GTCs.  Let me know.</w:t>
      </w:r>
    </w:p>
    <w:p>
      <w:pPr>
        <w:pStyle w:val="RBBodyText"/>
        <w:ind w:hanging="1134" w:start="1134" w:end="0"/>
        <w:rPr/>
      </w:pPr>
      <w:r>
        <w:rPr>
          <w:rStyle w:val="GillBold"/>
        </w:rPr>
        <w:t>4.6</w:t>
      </w:r>
      <w:r>
        <w:rPr/>
        <w:tab/>
        <w:t xml:space="preserve">You wanted a provision which would deal with interest payable on any sums repaid.  </w:t>
      </w:r>
    </w:p>
    <w:p>
      <w:pPr>
        <w:pStyle w:val="RBBodyText"/>
        <w:ind w:hanging="1134" w:start="1134" w:end="0"/>
        <w:rPr/>
      </w:pPr>
      <w:r>
        <w:rPr>
          <w:rStyle w:val="GillBold"/>
        </w:rPr>
        <w:t>4.9</w:t>
      </w:r>
      <w:r>
        <w:rPr/>
        <w:tab/>
        <w:t>Again, as requested, I have included a netting off provision.  Let me know if this is what you had in mind.</w:t>
      </w:r>
    </w:p>
    <w:p>
      <w:pPr>
        <w:pStyle w:val="RBBodyText"/>
        <w:ind w:hanging="1134" w:start="1134" w:end="0"/>
        <w:rPr/>
      </w:pPr>
      <w:r>
        <w:rPr>
          <w:rStyle w:val="GillBold"/>
        </w:rPr>
        <w:t>4.10</w:t>
      </w:r>
      <w:r>
        <w:rPr/>
        <w:tab/>
        <w:t>This would be the optional clause, which would only be reproduced in the GTCs for those counterparties who had not passed the initial credit check.</w:t>
      </w:r>
    </w:p>
    <w:p>
      <w:pPr>
        <w:pStyle w:val="RBBodyText"/>
        <w:ind w:hanging="1134" w:start="1134" w:end="0"/>
        <w:rPr/>
      </w:pPr>
      <w:r>
        <w:rPr>
          <w:rStyle w:val="GillBold"/>
        </w:rPr>
        <w:t>5    passing of risk and property</w:t>
      </w:r>
    </w:p>
    <w:p>
      <w:pPr>
        <w:pStyle w:val="RBBodyText"/>
        <w:rPr/>
      </w:pPr>
      <w:r>
        <w:rPr/>
        <w:t>There is no uniformity in either the MG Terms or in any of the other Enron GTCs dealing with the passing of title.  The oil trade has always provided that title passes with risk at delivery, i.e. crossing the ship’s rail/flange connection.  In many other trades, title passes on payment.  I have provided for the latter.  Let me know which you would prefer.</w:t>
      </w:r>
    </w:p>
    <w:p>
      <w:pPr>
        <w:pStyle w:val="RBBodyText"/>
        <w:rPr/>
      </w:pPr>
      <w:r>
        <w:rPr/>
        <w:t>I have then deleted the remainder of old Section 5.  These were mainly there to benefit one or other party, depending whether Enron was Buyer or Seller.</w:t>
      </w:r>
    </w:p>
    <w:p>
      <w:pPr>
        <w:pStyle w:val="RBBodyText"/>
        <w:rPr/>
      </w:pPr>
      <w:r>
        <w:rPr>
          <w:u w:val="single"/>
        </w:rPr>
        <w:t>Old</w:t>
      </w:r>
      <w:r>
        <w:rPr/>
        <w:t xml:space="preserve"> </w:t>
      </w:r>
      <w:r>
        <w:rPr>
          <w:rStyle w:val="GillBold"/>
        </w:rPr>
        <w:t>6  Warranties, undertakings and Exclusions</w:t>
      </w:r>
    </w:p>
    <w:p>
      <w:pPr>
        <w:pStyle w:val="RBBodyText"/>
        <w:rPr/>
      </w:pPr>
      <w:r>
        <w:rPr/>
        <w:t>I have decided that in fact the most “balanced” way of dealing with this is to simply delete any limitation or expansion on those warranties/terms which would be implied in any event by virtue of English law/Sale of Goods Act.  This means, in effect, that the Seller gives certain implied warranties as to title, plus the well</w:t>
        <w:noBreakHyphen/>
        <w:t>known implied terms as to satisfactory quality, fitness for purpose and so on.  Let me know if this is what you had in mind.</w:t>
      </w:r>
    </w:p>
    <w:p>
      <w:pPr>
        <w:pStyle w:val="RBBodyText"/>
        <w:rPr/>
      </w:pPr>
      <w:r>
        <w:rPr>
          <w:rStyle w:val="GillBold"/>
        </w:rPr>
        <w:t>6</w:t>
        <w:tab/>
        <w:t>Default, Termination and Liquidation</w:t>
      </w:r>
    </w:p>
    <w:p>
      <w:pPr>
        <w:pStyle w:val="RBBodyText"/>
        <w:ind w:hanging="2268" w:start="2268" w:end="0"/>
        <w:rPr/>
      </w:pPr>
      <w:r>
        <w:rPr>
          <w:rStyle w:val="GillBold"/>
        </w:rPr>
        <w:t>6.1(</w:t>
      </w:r>
      <w:r>
        <w:rPr>
          <w:rStyle w:val="GillBold"/>
          <w:caps w:val="false"/>
          <w:smallCaps w:val="false"/>
        </w:rPr>
        <w:t>a</w:t>
      </w:r>
      <w:r>
        <w:rPr>
          <w:rStyle w:val="GillBold"/>
        </w:rPr>
        <w:t>)</w:t>
      </w:r>
      <w:r>
        <w:rPr>
          <w:rStyle w:val="GillBold"/>
          <w:caps w:val="false"/>
          <w:smallCaps w:val="false"/>
        </w:rPr>
        <w:t xml:space="preserve"> </w:t>
      </w:r>
      <w:r>
        <w:rPr>
          <w:rStyle w:val="GillBold"/>
          <w:rFonts w:eastAsia="Garamond MT" w:cs="Garamond MT"/>
          <w:b w:val="false"/>
          <w:bCs w:val="false"/>
          <w:caps w:val="false"/>
          <w:smallCaps w:val="false"/>
          <w:sz w:val="24"/>
          <w:szCs w:val="24"/>
        </w:rPr>
        <w:t>and</w:t>
      </w:r>
      <w:r>
        <w:rPr>
          <w:rStyle w:val="GillBold"/>
          <w:caps w:val="false"/>
          <w:smallCaps w:val="false"/>
        </w:rPr>
        <w:t xml:space="preserve"> </w:t>
      </w:r>
      <w:r>
        <w:rPr>
          <w:rStyle w:val="GillBold"/>
        </w:rPr>
        <w:t>6.1(</w:t>
      </w:r>
      <w:r>
        <w:rPr>
          <w:rStyle w:val="GillBold"/>
          <w:caps w:val="false"/>
          <w:smallCaps w:val="false"/>
        </w:rPr>
        <w:t>d</w:t>
      </w:r>
      <w:r>
        <w:rPr>
          <w:rStyle w:val="GillBold"/>
        </w:rPr>
        <w:t>)</w:t>
      </w:r>
      <w:r>
        <w:rPr/>
        <w:tab/>
        <w:t>I have included failure to pay when due.  This would need revisiting depending on what you want to do about making time for payment of the essence.  I have also included a shorter insolvency provision.</w:t>
      </w:r>
    </w:p>
    <w:p>
      <w:pPr>
        <w:pStyle w:val="RBBodyText"/>
        <w:ind w:hanging="567" w:start="567" w:end="0"/>
        <w:rPr/>
      </w:pPr>
      <w:r>
        <w:rPr>
          <w:rStyle w:val="GillBold"/>
        </w:rPr>
        <w:t>6.7</w:t>
      </w:r>
      <w:r>
        <w:rPr/>
        <w:tab/>
        <w:t>Once we know that everyone is happy as to the “balancing” of the contract, I will revisit these clauses to ensure precisely the scope of the remedies which survive.</w:t>
      </w:r>
    </w:p>
    <w:p>
      <w:pPr>
        <w:pStyle w:val="RBBodyText"/>
        <w:ind w:hanging="567" w:start="567" w:end="0"/>
        <w:rPr/>
      </w:pPr>
      <w:r>
        <w:rPr>
          <w:rStyle w:val="GillBold"/>
        </w:rPr>
        <w:t>7</w:t>
        <w:tab/>
        <w:t>FORCE MAJEURE</w:t>
      </w:r>
    </w:p>
    <w:p>
      <w:pPr>
        <w:pStyle w:val="RBBodyText"/>
        <w:ind w:hanging="567" w:start="567" w:end="0"/>
        <w:rPr/>
      </w:pPr>
      <w:r>
        <w:rPr>
          <w:rStyle w:val="GillBold"/>
        </w:rPr>
        <w:t>7.5</w:t>
      </w:r>
      <w:r>
        <w:rPr/>
        <w:tab/>
        <w:t>You will see that I have inserted some wording to clarify that an event will only amount to force majeure if it occurs between the contract date and the date upon which delivery is to take place.</w:t>
      </w:r>
    </w:p>
    <w:p>
      <w:pPr>
        <w:pStyle w:val="RBBodyText"/>
        <w:ind w:hanging="567" w:start="567" w:end="0"/>
        <w:rPr/>
      </w:pPr>
      <w:r>
        <w:rPr>
          <w:rStyle w:val="GillBold"/>
        </w:rPr>
        <w:t>8</w:t>
        <w:tab/>
        <w:t>Licences, Consents and Permits</w:t>
      </w:r>
    </w:p>
    <w:p>
      <w:pPr>
        <w:pStyle w:val="RBBodyText"/>
        <w:rPr/>
      </w:pPr>
      <w:r>
        <w:rPr/>
        <w:t>We discussed this on the telephone the other night.  There was a licensing type provision which only affected the contract if Enron was Buyer.  I have drawn up an entirely new provision which is even</w:t>
        <w:noBreakHyphen/>
        <w:t>handed.  You might like to check that this is what people have in mind.</w:t>
      </w:r>
    </w:p>
    <w:p>
      <w:pPr>
        <w:pStyle w:val="RBBodyText"/>
        <w:rPr/>
      </w:pPr>
      <w:r>
        <w:rPr>
          <w:rStyle w:val="GillBold"/>
        </w:rPr>
        <w:t>13</w:t>
        <w:tab/>
        <w:t>General</w:t>
      </w:r>
    </w:p>
    <w:p>
      <w:pPr>
        <w:pStyle w:val="RBBodyText"/>
        <w:rPr/>
      </w:pPr>
      <w:r>
        <w:rPr>
          <w:rStyle w:val="GillBold"/>
        </w:rPr>
        <w:t>13.4</w:t>
      </w:r>
      <w:r>
        <w:rPr/>
        <w:tab/>
        <w:t>I have included the non</w:t>
        <w:noBreakHyphen/>
        <w:t>assignment clause you wanted.</w:t>
      </w:r>
    </w:p>
    <w:p>
      <w:pPr>
        <w:pStyle w:val="RBBodyText"/>
        <w:ind w:hanging="567" w:start="567" w:end="0"/>
        <w:rPr/>
      </w:pPr>
      <w:r>
        <w:rPr>
          <w:rStyle w:val="GillBold"/>
        </w:rPr>
        <w:t>13.5</w:t>
      </w:r>
      <w:r>
        <w:rPr/>
        <w:tab/>
        <w:t>This was an Enron-biased clause.  I have evened it out, but I have included it in square brackets, since you might want to delete it altogether.</w:t>
      </w:r>
    </w:p>
    <w:p>
      <w:pPr>
        <w:pStyle w:val="RBBodyText"/>
        <w:ind w:hanging="567" w:start="567" w:end="0"/>
        <w:rPr/>
      </w:pPr>
      <w:r>
        <w:rPr>
          <w:rStyle w:val="GillBold"/>
        </w:rPr>
        <w:t>13.6</w:t>
      </w:r>
      <w:r>
        <w:rPr/>
        <w:tab/>
        <w:t>This is really a seller-orientated clause.  Let me know if you want it left in.</w:t>
      </w:r>
    </w:p>
    <w:p>
      <w:pPr>
        <w:pStyle w:val="RBBodyText"/>
        <w:ind w:hanging="567" w:start="567" w:end="0"/>
        <w:rPr/>
      </w:pPr>
      <w:r>
        <w:rPr>
          <w:rStyle w:val="GillBold"/>
        </w:rPr>
        <w:t>13.7</w:t>
      </w:r>
      <w:r>
        <w:rPr/>
        <w:tab/>
        <w:t xml:space="preserve">This is a time bar clause.  Of course, it now cuts both ways.  To my knowledge, there is no standard within the metal trade.  Some standard terms have time bars, others do not.  Let me know what you would like.  </w:t>
      </w:r>
    </w:p>
    <w:p>
      <w:pPr>
        <w:pStyle w:val="RBBodyText"/>
        <w:ind w:hanging="567" w:start="567" w:end="0"/>
        <w:rPr/>
      </w:pPr>
      <w:r>
        <w:rPr/>
      </w:r>
    </w:p>
    <w:p>
      <w:pPr>
        <w:pStyle w:val="RBBodyText"/>
        <w:ind w:hanging="567" w:start="567" w:end="0"/>
        <w:rPr/>
      </w:pPr>
      <w:r>
        <w:rPr/>
      </w:r>
    </w:p>
    <w:p>
      <w:pPr>
        <w:pStyle w:val="RBBodyText"/>
        <w:ind w:hanging="567" w:start="567" w:end="0"/>
        <w:rPr/>
      </w:pPr>
      <w:r>
        <w:rPr/>
        <w:t>RGS</w:t>
      </w:r>
    </w:p>
    <w:p>
      <w:pPr>
        <w:pStyle w:val="RBBodyText"/>
        <w:ind w:hanging="567" w:start="567" w:end="0"/>
        <w:rPr/>
      </w:pPr>
      <w:r>
        <w:rPr/>
      </w:r>
    </w:p>
    <w:p>
      <w:pPr>
        <w:pStyle w:val="RBBodyText"/>
        <w:spacing w:before="0" w:after="240"/>
        <w:rPr/>
      </w:pPr>
      <w:r>
        <w:rPr/>
      </w:r>
    </w:p>
    <w:sectPr>
      <w:headerReference w:type="default" r:id="rId2"/>
      <w:headerReference w:type="first" r:id="rId3"/>
      <w:footerReference w:type="default" r:id="rId4"/>
      <w:footerReference w:type="first" r:id="rId5"/>
      <w:type w:val="nextPage"/>
      <w:pgSz w:w="11906" w:h="16838"/>
      <w:pgMar w:left="1418" w:right="851" w:gutter="0" w:header="680" w:top="2778" w:footer="680" w:bottom="141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MT">
    <w:charset w:val="01"/>
    <w:family w:val="roman"/>
    <w:pitch w:val="variable"/>
  </w:font>
  <w:font w:name="Gill Sans MT">
    <w:charset w:val="01"/>
    <w:family w:val="swiss"/>
    <w:pitch w:val="variable"/>
  </w:font>
  <w:font w:name="Liberation Sans">
    <w:altName w:val="Arial"/>
    <w:charset w:val="01" w:characterSet="utf-8"/>
    <w:family w:val="swiss"/>
    <w:pitch w:val="variable"/>
  </w:font>
  <w:font w:name="Richards Butler Logo">
    <w:altName w:val="Symbol"/>
    <w:charset w:val="02"/>
    <w:family w:val="auto"/>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"FooterRef"</w:instrText>
    </w:r>
    <w:r>
      <w:rPr/>
      <w:fldChar w:fldCharType="separate"/>
    </w:r>
    <w:r>
      <w:rPr/>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00622_memo_cooper_rgs_00_19199_.doc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BSingleText"/>
      <w:tabs>
        <w:tab w:val="clear" w:pos="567"/>
        <w:tab w:val="left" w:pos="3969" w:leader="none"/>
      </w:tabs>
      <w:rPr>
        <w:rFonts w:ascii="Richards Butler Logo;Symbol" w:hAnsi="Richards Butler Logo;Symbol" w:eastAsia="Richards Butler Logo;Symbol" w:cs="Richards Butler Logo;Symbol"/>
        <w:sz w:val="70"/>
        <w:szCs w:val="70"/>
      </w:rPr>
    </w:pPr>
    <w:r>
      <w:rPr>
        <w:rFonts w:eastAsia="Richards Butler Logo;Symbol" w:cs="Richards Butler Logo;Symbol" w:ascii="Richards Butler Logo;Symbol" w:hAnsi="Richards Butler Logo;Symbol"/>
        <w:sz w:val="70"/>
        <w:szCs w:val="70"/>
      </w:rPr>
      <w:tab/>
    </w:r>
    <w:r>
      <w:rPr/>
      <w:drawing>
        <wp:inline distT="0" distB="0" distL="0" distR="0">
          <wp:extent cx="699135" cy="46037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699135" cy="460375"/>
                  </a:xfrm>
                  <a:prstGeom prst="rect">
                    <a:avLst/>
                  </a:prstGeom>
                  <a:noFill/>
                </pic:spPr>
              </pic:pic>
            </a:graphicData>
          </a:graphic>
        </wp:inline>
      </w:drawing>
    </w:r>
  </w:p>
  <w:p>
    <w:pPr>
      <w:pStyle w:val="Header"/>
      <w:spacing w:before="840" w:after="240"/>
      <w:rPr/>
    </w:pPr>
    <w:bookmarkStart w:id="12" w:name="HeaderDraft"/>
    <w:bookmarkEnd w:id="12"/>
    <w:r>
      <w:rPr/>
      <w:t xml:space="preserve">Edmund Cooper /page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t>22nd June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127" w:leader="none"/>
        <w:tab w:val="right" w:pos="9639" w:leader="none"/>
      </w:tabs>
      <w:spacing w:before="0" w:after="240"/>
      <w:rPr/>
    </w:pPr>
    <w:r>
      <w:rPr>
        <w:rFonts w:eastAsia="Richards Butler Logo;Symbol" w:cs="Richards Butler Logo;Symbol" w:ascii="Richards Butler Logo;Symbol" w:hAnsi="Richards Butler Logo;Symbol"/>
        <w:sz w:val="158"/>
        <w:szCs w:val="158"/>
      </w:rPr>
      <w:tab/>
    </w:r>
    <w:r>
      <w:rPr>
        <w:rFonts w:eastAsia="Gill Sans MT" w:cs="Gill Sans MT" w:ascii="Gill Sans MT" w:hAnsi="Gill Sans MT"/>
        <w:b/>
        <w:bCs/>
        <w:caps/>
        <w:spacing w:val="40"/>
        <w:sz w:val="16"/>
        <w:szCs w:val="16"/>
      </w:rPr>
      <w:drawing>
        <wp:inline distT="0" distB="0" distL="0" distR="0">
          <wp:extent cx="3141980" cy="9956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3141980" cy="99568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567"/>
        </w:tabs>
        <w:ind w:start="567" w:hanging="567"/>
      </w:pPr>
    </w:lvl>
    <w:lvl w:ilvl="1">
      <w:start w:val="1"/>
      <w:pStyle w:val="Heading2"/>
      <w:numFmt w:val="lowerLetter"/>
      <w:lvlText w:val="%2"/>
      <w:lvlJc w:val="start"/>
      <w:pPr>
        <w:tabs>
          <w:tab w:val="num" w:pos="567"/>
        </w:tabs>
        <w:ind w:start="567" w:hanging="567"/>
      </w:pPr>
    </w:lvl>
    <w:lvl w:ilvl="2">
      <w:start w:val="1"/>
      <w:pStyle w:val="Heading3"/>
      <w:numFmt w:val="lowerRoman"/>
      <w:lvlText w:val="%3"/>
      <w:lvlJc w:val="start"/>
      <w:pPr>
        <w:tabs>
          <w:tab w:val="num" w:pos="567"/>
        </w:tabs>
        <w:ind w:start="567" w:hanging="567"/>
      </w:pPr>
    </w:lvl>
    <w:lvl w:ilvl="3">
      <w:start w:val="1"/>
      <w:pStyle w:val="Heading4"/>
      <w:numFmt w:val="decimal"/>
      <w:suff w:val="nothing"/>
      <w:lvlText w:val="%4"/>
      <w:lvlJc w:val="start"/>
      <w:pPr>
        <w:tabs>
          <w:tab w:val="num" w:pos="0"/>
        </w:tabs>
        <w:ind w:start="0" w:hanging="0"/>
      </w:pPr>
    </w:lvl>
    <w:lvl w:ilvl="4">
      <w:start w:val="1"/>
      <w:pStyle w:val="Heading5"/>
      <w:numFmt w:val="decimal"/>
      <w:suff w:val="nothing"/>
      <w:lvlText w:val="%5"/>
      <w:lvlJc w:val="start"/>
      <w:pPr>
        <w:tabs>
          <w:tab w:val="num" w:pos="0"/>
        </w:tabs>
        <w:ind w:start="0" w:hanging="0"/>
      </w:pPr>
    </w:lvl>
    <w:lvl w:ilvl="5">
      <w:start w:val="1"/>
      <w:pStyle w:val="Heading6"/>
      <w:numFmt w:val="decimal"/>
      <w:suff w:val="nothing"/>
      <w:lvlText w:val="%6"/>
      <w:lvlJc w:val="start"/>
      <w:pPr>
        <w:tabs>
          <w:tab w:val="num" w:pos="0"/>
        </w:tabs>
        <w:ind w:start="0" w:hanging="0"/>
      </w:pPr>
    </w:lvl>
    <w:lvl w:ilvl="6">
      <w:start w:val="1"/>
      <w:pStyle w:val="Heading7"/>
      <w:numFmt w:val="decimal"/>
      <w:suff w:val="nothing"/>
      <w:lvlText w:val="%7"/>
      <w:lvlJc w:val="start"/>
      <w:pPr>
        <w:tabs>
          <w:tab w:val="num" w:pos="0"/>
        </w:tabs>
        <w:ind w:start="0" w:hanging="0"/>
      </w:pPr>
    </w:lvl>
    <w:lvl w:ilvl="7">
      <w:start w:val="1"/>
      <w:pStyle w:val="Heading8"/>
      <w:numFmt w:val="decimal"/>
      <w:suff w:val="nothing"/>
      <w:lvlText w:val="%8"/>
      <w:lvlJc w:val="start"/>
      <w:pPr>
        <w:tabs>
          <w:tab w:val="num" w:pos="0"/>
        </w:tabs>
        <w:ind w:start="0" w:hanging="0"/>
      </w:pPr>
    </w:lvl>
    <w:lvl w:ilvl="8">
      <w:start w:val="1"/>
      <w:pStyle w:val="Heading9"/>
      <w:numFmt w:val="decimal"/>
      <w:suff w:val="nothing"/>
      <w:lvlText w:val="%9"/>
      <w:lvlJc w:val="start"/>
      <w:pPr>
        <w:tabs>
          <w:tab w:val="num" w:pos="0"/>
        </w:tabs>
        <w:ind w:start="0" w:hanging="0"/>
      </w:pPr>
    </w:lvl>
  </w:abstractNum>
  <w:abstractNum w:abstractNumId="2">
    <w:lvl w:ilvl="0">
      <w:start w:val="1"/>
      <w:numFmt w:val="bullet"/>
      <w:lvlText w:val="·"/>
      <w:lvlJc w:val="start"/>
      <w:pPr>
        <w:tabs>
          <w:tab w:val="num" w:pos="567"/>
        </w:tabs>
        <w:ind w:start="567" w:hanging="56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567"/>
        </w:tabs>
        <w:ind w:start="567" w:hanging="56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567"/>
        </w:tabs>
        <w:ind w:start="567" w:hanging="56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567"/>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MT" w:hAnsi="Garamond MT" w:eastAsia="Garamond MT" w:cs="Garamond MT"/>
      <w:color w:val="auto"/>
      <w:sz w:val="24"/>
      <w:szCs w:val="24"/>
      <w:lang w:val="en-GB" w:eastAsia="zh-CN" w:bidi="hi-IN"/>
    </w:rPr>
  </w:style>
  <w:style w:type="paragraph" w:styleId="Heading1">
    <w:name w:val="heading 1"/>
    <w:basedOn w:val="RBBodyText"/>
    <w:next w:val="BodyText"/>
    <w:qFormat/>
    <w:pPr>
      <w:numPr>
        <w:ilvl w:val="0"/>
        <w:numId w:val="1"/>
      </w:numPr>
      <w:tabs>
        <w:tab w:val="clear" w:pos="567"/>
      </w:tabs>
      <w:ind w:hanging="567" w:start="1134" w:end="0"/>
      <w:outlineLvl w:val="0"/>
    </w:pPr>
    <w:rPr/>
  </w:style>
  <w:style w:type="paragraph" w:styleId="Heading2">
    <w:name w:val="heading 2"/>
    <w:basedOn w:val="RBBodyText"/>
    <w:next w:val="BodyText"/>
    <w:qFormat/>
    <w:pPr>
      <w:numPr>
        <w:ilvl w:val="1"/>
        <w:numId w:val="1"/>
      </w:numPr>
      <w:tabs>
        <w:tab w:val="clear" w:pos="567"/>
      </w:tabs>
      <w:ind w:hanging="567" w:start="1701" w:end="0"/>
      <w:outlineLvl w:val="1"/>
    </w:pPr>
    <w:rPr/>
  </w:style>
  <w:style w:type="paragraph" w:styleId="Heading3">
    <w:name w:val="heading 3"/>
    <w:basedOn w:val="RBBodyText"/>
    <w:next w:val="BodyText"/>
    <w:qFormat/>
    <w:pPr>
      <w:numPr>
        <w:ilvl w:val="2"/>
        <w:numId w:val="1"/>
      </w:numPr>
      <w:tabs>
        <w:tab w:val="clear" w:pos="567"/>
      </w:tabs>
      <w:ind w:hanging="567" w:start="2268" w:end="0"/>
      <w:outlineLvl w:val="2"/>
    </w:pPr>
    <w:rPr/>
  </w:style>
  <w:style w:type="paragraph" w:styleId="Heading4">
    <w:name w:val="heading 4"/>
    <w:basedOn w:val="RBBodyText"/>
    <w:next w:val="BodyText"/>
    <w:qFormat/>
    <w:pPr>
      <w:numPr>
        <w:ilvl w:val="3"/>
        <w:numId w:val="1"/>
      </w:numPr>
      <w:ind w:hanging="0" w:start="1701" w:end="0"/>
      <w:outlineLvl w:val="3"/>
    </w:pPr>
    <w:rPr/>
  </w:style>
  <w:style w:type="paragraph" w:styleId="Heading5">
    <w:name w:val="heading 5"/>
    <w:basedOn w:val="Normal"/>
    <w:next w:val="BodyText"/>
    <w:qFormat/>
    <w:pPr>
      <w:numPr>
        <w:ilvl w:val="4"/>
        <w:numId w:val="1"/>
      </w:numPr>
      <w:spacing w:lineRule="auto" w:line="360" w:before="0" w:after="240"/>
      <w:ind w:hanging="0" w:start="1701" w:end="0"/>
      <w:jc w:val="both"/>
      <w:outlineLvl w:val="4"/>
    </w:pPr>
    <w:rPr>
      <w:rFonts w:ascii="Garamond MT" w:hAnsi="Garamond MT" w:eastAsia="Garamond MT" w:cs="Garamond MT"/>
      <w:sz w:val="25"/>
      <w:szCs w:val="25"/>
    </w:rPr>
  </w:style>
  <w:style w:type="paragraph" w:styleId="Heading6">
    <w:name w:val="heading 6"/>
    <w:basedOn w:val="Normal"/>
    <w:next w:val="BodyText"/>
    <w:qFormat/>
    <w:pPr>
      <w:numPr>
        <w:ilvl w:val="5"/>
        <w:numId w:val="1"/>
      </w:numPr>
      <w:spacing w:lineRule="auto" w:line="360" w:before="0" w:after="240"/>
      <w:ind w:hanging="0" w:start="1701" w:end="0"/>
      <w:jc w:val="both"/>
      <w:outlineLvl w:val="5"/>
    </w:pPr>
    <w:rPr>
      <w:rFonts w:ascii="Garamond MT" w:hAnsi="Garamond MT" w:eastAsia="Garamond MT" w:cs="Garamond MT"/>
      <w:sz w:val="25"/>
      <w:szCs w:val="25"/>
    </w:rPr>
  </w:style>
  <w:style w:type="paragraph" w:styleId="Heading7">
    <w:name w:val="heading 7"/>
    <w:basedOn w:val="Normal"/>
    <w:next w:val="BodyText"/>
    <w:qFormat/>
    <w:pPr>
      <w:numPr>
        <w:ilvl w:val="6"/>
        <w:numId w:val="1"/>
      </w:numPr>
      <w:spacing w:lineRule="auto" w:line="360" w:before="0" w:after="240"/>
      <w:ind w:hanging="0" w:start="1701" w:end="0"/>
      <w:jc w:val="both"/>
      <w:outlineLvl w:val="6"/>
    </w:pPr>
    <w:rPr>
      <w:rFonts w:ascii="Garamond MT" w:hAnsi="Garamond MT" w:eastAsia="Garamond MT" w:cs="Garamond MT"/>
      <w:sz w:val="25"/>
      <w:szCs w:val="25"/>
    </w:rPr>
  </w:style>
  <w:style w:type="paragraph" w:styleId="Heading8">
    <w:name w:val="heading 8"/>
    <w:basedOn w:val="Normal"/>
    <w:next w:val="BodyText"/>
    <w:qFormat/>
    <w:pPr>
      <w:numPr>
        <w:ilvl w:val="7"/>
        <w:numId w:val="1"/>
      </w:numPr>
      <w:spacing w:lineRule="auto" w:line="360" w:before="0" w:after="240"/>
      <w:ind w:hanging="0" w:start="1701" w:end="0"/>
      <w:jc w:val="both"/>
      <w:outlineLvl w:val="7"/>
    </w:pPr>
    <w:rPr>
      <w:rFonts w:ascii="Garamond MT" w:hAnsi="Garamond MT" w:eastAsia="Garamond MT" w:cs="Garamond MT"/>
      <w:sz w:val="25"/>
      <w:szCs w:val="25"/>
    </w:rPr>
  </w:style>
  <w:style w:type="paragraph" w:styleId="Heading9">
    <w:name w:val="heading 9"/>
    <w:basedOn w:val="Normal"/>
    <w:next w:val="BodyText"/>
    <w:qFormat/>
    <w:pPr>
      <w:numPr>
        <w:ilvl w:val="8"/>
        <w:numId w:val="1"/>
      </w:numPr>
      <w:spacing w:lineRule="auto" w:line="360" w:before="0" w:after="240"/>
      <w:ind w:hanging="0" w:start="1701" w:end="0"/>
      <w:jc w:val="both"/>
      <w:outlineLvl w:val="8"/>
    </w:pPr>
    <w:rPr>
      <w:rFonts w:ascii="Garamond MT" w:hAnsi="Garamond MT" w:eastAsia="Garamond MT" w:cs="Garamond MT"/>
      <w:sz w:val="25"/>
      <w:szCs w:val="25"/>
    </w:rPr>
  </w:style>
  <w:style w:type="character" w:styleId="DefaultParagraphFont">
    <w:name w:val="Default Paragraph Font"/>
    <w:qFormat/>
    <w:rPr/>
  </w:style>
  <w:style w:type="character" w:styleId="GaraBold">
    <w:name w:val="Gara Bold"/>
    <w:basedOn w:val="DefaultParagraphFont"/>
    <w:qFormat/>
    <w:rPr>
      <w:rFonts w:ascii="Garamond MT" w:hAnsi="Garamond MT" w:eastAsia="Garamond MT" w:cs="Garamond MT"/>
      <w:b/>
      <w:bCs/>
      <w:caps/>
      <w:spacing w:val="0"/>
      <w:kern w:val="0"/>
      <w:position w:val="0"/>
      <w:sz w:val="20"/>
      <w:sz w:val="20"/>
      <w:szCs w:val="20"/>
      <w:vertAlign w:val="baseline"/>
    </w:rPr>
  </w:style>
  <w:style w:type="character" w:styleId="GillBold">
    <w:name w:val="Gill Bold"/>
    <w:basedOn w:val="DefaultParagraphFont"/>
    <w:qFormat/>
    <w:rPr>
      <w:rFonts w:ascii="Gill Sans MT" w:hAnsi="Gill Sans MT" w:eastAsia="Gill Sans MT" w:cs="Gill Sans MT"/>
      <w:b/>
      <w:bCs/>
      <w:caps/>
      <w:spacing w:val="2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BBodyText">
    <w:name w:val="RB Body Text"/>
    <w:basedOn w:val="Normal"/>
    <w:qFormat/>
    <w:pPr>
      <w:spacing w:before="0" w:after="24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RBBodyText"/>
    <w:pPr>
      <w:tabs>
        <w:tab w:val="clear" w:pos="567"/>
        <w:tab w:val="right" w:pos="9639" w:leader="none"/>
      </w:tabs>
      <w:spacing w:before="840" w:after="240"/>
    </w:pPr>
    <w:rPr>
      <w:lang w:val="en-CA"/>
    </w:rPr>
  </w:style>
  <w:style w:type="paragraph" w:styleId="Footer">
    <w:name w:val="footer"/>
    <w:basedOn w:val="RBBodyText"/>
    <w:pPr>
      <w:tabs>
        <w:tab w:val="clear" w:pos="567"/>
        <w:tab w:val="right" w:pos="10206" w:leader="none"/>
      </w:tabs>
      <w:spacing w:before="0" w:after="0"/>
    </w:pPr>
    <w:rPr>
      <w:sz w:val="14"/>
      <w:szCs w:val="14"/>
      <w:lang w:val="en-CA"/>
    </w:rPr>
  </w:style>
  <w:style w:type="paragraph" w:styleId="zMemoTable">
    <w:name w:val="z_Memo Table"/>
    <w:basedOn w:val="RBBodyText"/>
    <w:qFormat/>
    <w:pPr>
      <w:spacing w:before="0" w:after="0"/>
    </w:pPr>
    <w:rPr/>
  </w:style>
  <w:style w:type="paragraph" w:styleId="zMemoText">
    <w:name w:val="z_Memo Text"/>
    <w:basedOn w:val="RBBodyText"/>
    <w:qFormat/>
    <w:pPr>
      <w:spacing w:before="0" w:after="300"/>
    </w:pPr>
    <w:rPr>
      <w:rFonts w:ascii="Gill Sans MT" w:hAnsi="Gill Sans MT" w:eastAsia="Gill Sans MT" w:cs="Gill Sans MT"/>
      <w:b/>
      <w:bCs/>
      <w:spacing w:val="60"/>
    </w:rPr>
  </w:style>
  <w:style w:type="paragraph" w:styleId="Bullet1">
    <w:name w:val="Bullet 1"/>
    <w:basedOn w:val="RBBodyText"/>
    <w:qFormat/>
    <w:pPr>
      <w:numPr>
        <w:ilvl w:val="0"/>
        <w:numId w:val="2"/>
      </w:numPr>
      <w:ind w:hanging="567" w:start="567" w:end="0"/>
    </w:pPr>
    <w:rPr/>
  </w:style>
  <w:style w:type="paragraph" w:styleId="Bullet2">
    <w:name w:val="Bullet 2"/>
    <w:basedOn w:val="RBBodyText"/>
    <w:qFormat/>
    <w:pPr>
      <w:numPr>
        <w:ilvl w:val="0"/>
        <w:numId w:val="3"/>
      </w:numPr>
      <w:ind w:hanging="567" w:start="1134" w:end="0"/>
    </w:pPr>
    <w:rPr/>
  </w:style>
  <w:style w:type="paragraph" w:styleId="Bullet3">
    <w:name w:val="Bullet 3"/>
    <w:basedOn w:val="RBBodyText"/>
    <w:qFormat/>
    <w:pPr>
      <w:numPr>
        <w:ilvl w:val="0"/>
        <w:numId w:val="4"/>
      </w:numPr>
      <w:ind w:hanging="567" w:start="1701" w:end="0"/>
    </w:pPr>
    <w:rPr/>
  </w:style>
  <w:style w:type="paragraph" w:styleId="DirectQuote">
    <w:name w:val="Direct Quote"/>
    <w:basedOn w:val="RBBodyText"/>
    <w:qFormat/>
    <w:pPr>
      <w:ind w:hanging="0" w:start="567" w:end="567"/>
    </w:pPr>
    <w:rPr>
      <w:i/>
      <w:iCs/>
    </w:rPr>
  </w:style>
  <w:style w:type="paragraph" w:styleId="zDraft">
    <w:name w:val="z_Draft"/>
    <w:basedOn w:val="RBBodyText"/>
    <w:qFormat/>
    <w:pPr/>
    <w:rPr>
      <w:rFonts w:ascii="Gill Sans MT" w:hAnsi="Gill Sans MT" w:eastAsia="Gill Sans MT" w:cs="Gill Sans MT"/>
      <w:b/>
      <w:bCs/>
      <w:caps/>
      <w:spacing w:val="35"/>
    </w:rPr>
  </w:style>
  <w:style w:type="paragraph" w:styleId="Indent1">
    <w:name w:val="Indent 1"/>
    <w:basedOn w:val="RBBodyText"/>
    <w:qFormat/>
    <w:pPr>
      <w:ind w:hanging="0" w:start="567" w:end="0"/>
    </w:pPr>
    <w:rPr/>
  </w:style>
  <w:style w:type="paragraph" w:styleId="Indent2">
    <w:name w:val="Indent 2"/>
    <w:basedOn w:val="RBBodyText"/>
    <w:qFormat/>
    <w:pPr>
      <w:ind w:hanging="0" w:start="1134" w:end="0"/>
    </w:pPr>
    <w:rPr/>
  </w:style>
  <w:style w:type="paragraph" w:styleId="Indent3">
    <w:name w:val="Indent 3"/>
    <w:basedOn w:val="RBBodyText"/>
    <w:qFormat/>
    <w:pPr>
      <w:ind w:hanging="0" w:start="1701" w:end="0"/>
    </w:pPr>
    <w:rPr/>
  </w:style>
  <w:style w:type="paragraph" w:styleId="MainHeading">
    <w:name w:val="Main Heading"/>
    <w:basedOn w:val="RBBodyText"/>
    <w:next w:val="RBBodyText"/>
    <w:qFormat/>
    <w:pPr>
      <w:keepNext w:val="true"/>
      <w:keepLines/>
    </w:pPr>
    <w:rPr>
      <w:b/>
      <w:bCs/>
      <w:i/>
      <w:iCs/>
    </w:rPr>
  </w:style>
  <w:style w:type="paragraph" w:styleId="RBSingleIndent">
    <w:name w:val="RB Single Indent"/>
    <w:basedOn w:val="RBBodyText"/>
    <w:qFormat/>
    <w:pPr>
      <w:spacing w:before="0" w:after="0"/>
      <w:ind w:hanging="0" w:start="567" w:end="0"/>
    </w:pPr>
    <w:rPr/>
  </w:style>
  <w:style w:type="paragraph" w:styleId="RBSingleText">
    <w:name w:val="RB Single Text"/>
    <w:basedOn w:val="RBBodyText"/>
    <w:qFormat/>
    <w:pPr>
      <w:spacing w:before="0" w:after="0"/>
    </w:pPr>
    <w:rPr/>
  </w:style>
  <w:style w:type="paragraph" w:styleId="zRemarks">
    <w:name w:val="z_Remarks"/>
    <w:basedOn w:val="RBBodyText"/>
    <w:qFormat/>
    <w:pPr/>
    <w:rPr>
      <w:rFonts w:ascii="Gill Sans MT" w:hAnsi="Gill Sans MT" w:eastAsia="Gill Sans MT" w:cs="Gill Sans MT"/>
      <w:b/>
      <w:bCs/>
      <w:caps/>
      <w:spacing w:val="35"/>
      <w:sz w:val="16"/>
      <w:szCs w:val="16"/>
    </w:rPr>
  </w:style>
  <w:style w:type="paragraph" w:styleId="SubjectHeading">
    <w:name w:val="Subject Heading"/>
    <w:basedOn w:val="RBBodyText"/>
    <w:qFormat/>
    <w:pPr>
      <w:spacing w:before="0" w:after="0"/>
    </w:pPr>
    <w:rPr>
      <w:b/>
      <w:bCs/>
    </w:rPr>
  </w:style>
  <w:style w:type="paragraph" w:styleId="SubsidiaryHeading">
    <w:name w:val="Subsidiary Heading"/>
    <w:basedOn w:val="RBBodyText"/>
    <w:next w:val="RBBodyText"/>
    <w:qFormat/>
    <w:pPr>
      <w:keepNext w:val="true"/>
      <w:keepLines/>
    </w:pPr>
    <w:rPr>
      <w:i/>
      <w:iCs/>
    </w:rPr>
  </w:style>
  <w:style w:type="paragraph" w:styleId="TableContents">
    <w:name w:val="Table Contents"/>
    <w:basedOn w:val="Normal"/>
    <w:qFormat/>
    <w:pPr>
      <w:widowControl w:val="false"/>
      <w:suppressLineNumbers/>
    </w:pPr>
    <w:rPr/>
  </w:style>
  <w:style w:type="paragraph" w:styleId="TableHeading">
    <w:name w:val="Table Heading"/>
    <w:basedOn w:val="RBBodyText"/>
    <w:qFormat/>
    <w:pPr>
      <w:keepNext w:val="true"/>
      <w:keepLines/>
      <w:spacing w:before="120" w:after="120"/>
    </w:pPr>
    <w:rPr>
      <w:b/>
      <w:bCs/>
      <w:i/>
      <w:iCs/>
    </w:rPr>
  </w:style>
  <w:style w:type="paragraph" w:styleId="TableText">
    <w:name w:val="Table Text"/>
    <w:basedOn w:val="RBBodyText"/>
    <w:qFormat/>
    <w:pPr/>
    <w:rPr/>
  </w:style>
  <w:style w:type="paragraph" w:styleId="TableSingle">
    <w:name w:val="Table Single"/>
    <w:basedOn w:val="TableText"/>
    <w:qFormat/>
    <w:pPr>
      <w:spacing w:before="0" w:after="0"/>
    </w:pPr>
    <w:rPr/>
  </w:style>
  <w:style w:type="paragraph" w:styleId="TableSingleIndent">
    <w:name w:val="Table Single Indent"/>
    <w:basedOn w:val="TableText"/>
    <w:qFormat/>
    <w:pPr>
      <w:spacing w:before="0" w:after="0"/>
      <w:ind w:hanging="0" w:start="567" w:end="0"/>
    </w:pPr>
    <w:rPr/>
  </w:style>
  <w:style w:type="paragraph" w:styleId="TableTextIndent">
    <w:name w:val="Table Text Indent"/>
    <w:basedOn w:val="TableText"/>
    <w:qFormat/>
    <w:pPr>
      <w:ind w:hanging="0" w:start="567" w:end="0"/>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2000-06-22T15:05:00Z</dcterms:created>
  <dc:creator>Richards Butler</dc:creator>
  <dc:description>New Corporate Image
4 August 97- revised for second release</dc:description>
  <dc:language>en-CA</dc:language>
  <cp:lastModifiedBy>Richards Butler</cp:lastModifiedBy>
  <cp:lastPrinted>2000-06-22T19:16:00Z</cp:lastPrinted>
  <dcterms:modified xsi:type="dcterms:W3CDTF">2000-06-22T15:46:00Z</dcterms:modified>
  <cp:revision>3</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
  </property>
</Properties>
</file>