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TIDEWATER FIBER CORP.</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$600,000 with respect to Counterparty, or $100,000,000 with respect to ENA,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spacing w:before="0" w:after="120"/>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keepNext w:val="true"/>
        <w:spacing w:before="0" w:after="120"/>
        <w:ind w:start="360" w:end="0"/>
        <w:jc w:val="both"/>
        <w:rPr>
          <w:rFonts w:ascii="Arial Narrow" w:hAnsi="Arial Narrow" w:cs="Arial Narrow"/>
          <w:i/>
          <w:i/>
          <w:iCs/>
          <w:sz w:val="18"/>
          <w:szCs w:val="22"/>
        </w:rPr>
      </w:pPr>
      <w:r>
        <w:rPr>
          <w:rFonts w:cs="Arial Narrow" w:ascii="Arial Narrow" w:hAnsi="Arial Narrow"/>
          <w:sz w:val="18"/>
        </w:rPr>
        <w:t>"</w:t>
      </w:r>
      <w:r>
        <w:rPr>
          <w:rFonts w:cs="Arial Narrow" w:ascii="Arial Narrow" w:hAnsi="Arial Narrow"/>
          <w:i/>
          <w:iCs/>
          <w:sz w:val="18"/>
          <w:szCs w:val="22"/>
          <w:u w:val="single"/>
        </w:rPr>
        <w:t>Depreciation, Depletion and Amortization Expense</w:t>
      </w:r>
      <w:r>
        <w:rPr>
          <w:rFonts w:cs="Arial Narrow" w:ascii="Arial Narrow" w:hAnsi="Arial Narrow"/>
          <w:sz w:val="18"/>
        </w:rPr>
        <w:t>"</w:t>
      </w:r>
      <w:r>
        <w:rPr>
          <w:rFonts w:cs="Arial Narrow" w:ascii="Arial Narrow" w:hAnsi="Arial Narrow"/>
          <w:sz w:val="18"/>
          <w:szCs w:val="22"/>
        </w:rPr>
        <w:t xml:space="preserve"> means, with respect to </w:t>
      </w:r>
      <w:r>
        <w:rPr>
          <w:rFonts w:cs="Arial Narrow" w:ascii="Arial Narrow" w:hAnsi="Arial Narrow"/>
          <w:sz w:val="18"/>
        </w:rPr>
        <w:t>Counterparty</w:t>
      </w:r>
      <w:r>
        <w:rPr>
          <w:rFonts w:cs="Arial Narrow" w:ascii="Arial Narrow" w:hAnsi="Arial Narrow"/>
          <w:sz w:val="18"/>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spacing w:before="0" w:after="120"/>
        <w:ind w:start="360" w:end="0"/>
        <w:rPr/>
      </w:pPr>
      <w:r>
        <w:rPr/>
        <w:t>"</w:t>
      </w:r>
      <w:r>
        <w:rPr>
          <w:i/>
          <w:iCs/>
          <w:u w:val="single"/>
        </w:rPr>
        <w:t>EBITDA</w:t>
      </w:r>
      <w:r>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before="0" w:after="120"/>
        <w:ind w:start="360" w:end="0"/>
        <w:rPr>
          <w:rFonts w:ascii="Arial Narrow" w:hAnsi="Arial Narrow" w:cs="Arial Narrow"/>
          <w:b/>
          <w:sz w:val="18"/>
        </w:rPr>
      </w:pPr>
      <w:r>
        <w:rPr>
          <w:rFonts w:cs="Arial Narrow" w:ascii="Arial Narrow" w:hAnsi="Arial Narrow"/>
          <w:sz w:val="18"/>
        </w:rPr>
        <w:t>"</w:t>
      </w:r>
      <w:r>
        <w:rPr>
          <w:rFonts w:cs="Arial Narrow" w:ascii="Arial Narrow" w:hAnsi="Arial Narrow"/>
          <w:i/>
          <w:iCs/>
          <w:sz w:val="18"/>
          <w:szCs w:val="22"/>
          <w:u w:val="single"/>
        </w:rPr>
        <w:t>EBITDA Coverage Ratio</w:t>
      </w:r>
      <w:r>
        <w:rPr>
          <w:rFonts w:cs="Arial Narrow" w:ascii="Arial Narrow" w:hAnsi="Arial Narrow"/>
          <w:sz w:val="18"/>
        </w:rPr>
        <w:t>"</w:t>
      </w:r>
      <w:r>
        <w:rPr>
          <w:rFonts w:cs="Arial Narrow" w:ascii="Arial Narrow" w:hAnsi="Arial Narrow"/>
          <w:sz w:val="18"/>
          <w:szCs w:val="22"/>
        </w:rPr>
        <w:t xml:space="preserve"> means, with respect to any period, the ratio of (i) EBITDA for such period to (ii) the aggregate amount of Interest Expense for such period.</w:t>
      </w:r>
    </w:p>
    <w:p>
      <w:pPr>
        <w:pStyle w:val="Normal"/>
        <w:spacing w:before="0" w:after="120"/>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spacing w:before="0" w:after="120"/>
        <w:ind w:start="360" w:end="0"/>
        <w:jc w:val="both"/>
        <w:rPr/>
      </w:pPr>
      <w:r>
        <w:rPr>
          <w:rFonts w:cs="Arial Narrow" w:ascii="Arial Narrow" w:hAnsi="Arial Narrow"/>
          <w:sz w:val="18"/>
        </w:rPr>
        <w:t>"</w:t>
      </w:r>
      <w:r>
        <w:rPr>
          <w:rFonts w:cs="Arial Narrow" w:ascii="Arial Narrow" w:hAnsi="Arial Narrow"/>
          <w:i/>
          <w:iCs/>
          <w:sz w:val="18"/>
          <w:szCs w:val="22"/>
          <w:u w:val="single"/>
        </w:rPr>
        <w:t>Interest Expense</w:t>
      </w:r>
      <w:r>
        <w:rPr>
          <w:rFonts w:cs="Arial Narrow" w:ascii="Arial Narrow" w:hAnsi="Arial Narrow"/>
          <w:sz w:val="18"/>
        </w:rPr>
        <w:t>"</w:t>
      </w:r>
      <w:r>
        <w:rPr>
          <w:rFonts w:cs="Arial Narrow" w:ascii="Arial Narrow" w:hAnsi="Arial Narrow"/>
          <w:sz w:val="18"/>
          <w:szCs w:val="22"/>
        </w:rPr>
        <w:t xml:space="preserve"> means, for any period, without duplication, the total consolidated interest expense of </w:t>
      </w:r>
      <w:r>
        <w:rPr>
          <w:rFonts w:cs="Arial Narrow" w:ascii="Arial Narrow" w:hAnsi="Arial Narrow"/>
          <w:sz w:val="18"/>
        </w:rPr>
        <w:t xml:space="preserve">Counterparty </w:t>
      </w:r>
      <w:r>
        <w:rPr>
          <w:rFonts w:cs="Arial Narrow" w:ascii="Arial Narrow" w:hAnsi="Arial Narrow"/>
          <w:sz w:val="18"/>
          <w:szCs w:val="22"/>
        </w:rPr>
        <w:t xml:space="preserve">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r>
        <w:rPr>
          <w:rFonts w:cs="Arial Narrow" w:ascii="Arial Narrow" w:hAnsi="Arial Narrow"/>
          <w:sz w:val="18"/>
        </w:rPr>
        <w:t xml:space="preserve">Counterparty </w:t>
      </w:r>
      <w:r>
        <w:rPr>
          <w:rFonts w:cs="Arial Narrow" w:ascii="Arial Narrow" w:hAnsi="Arial Narrow"/>
          <w:sz w:val="18"/>
          <w:szCs w:val="22"/>
        </w:rPr>
        <w:t>under any guarantee of indebtedness or other obligations of any other person.</w:t>
      </w:r>
    </w:p>
    <w:p>
      <w:pPr>
        <w:pStyle w:val="Normal"/>
        <w:spacing w:before="0" w:after="120"/>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with respect to Counterparty, it shall have any of the following occur at any time:  (i) its Net Worth falls below $2,750,000, or (ii) </w:t>
      </w:r>
      <w:r>
        <w:rPr>
          <w:rFonts w:cs="Arial Narrow" w:ascii="Arial Narrow" w:hAnsi="Arial Narrow"/>
          <w:sz w:val="18"/>
          <w:szCs w:val="22"/>
        </w:rPr>
        <w:t>its EBITDA Coverage Ratio shall be less than 1.5</w:t>
      </w:r>
      <w:r>
        <w:rPr>
          <w:rFonts w:cs="Arial Narrow" w:ascii="Arial Narrow" w:hAnsi="Arial Narrow"/>
          <w:sz w:val="18"/>
        </w:rPr>
        <w:t xml:space="preserve"> to 1.</w:t>
      </w:r>
    </w:p>
    <w:p>
      <w:pPr>
        <w:pStyle w:val="Normal"/>
        <w:spacing w:before="0" w:after="120"/>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spacing w:before="0" w:after="120"/>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and other proper income credits, less all proper income charges, including taxes on income, all determined in accordance with GAAP.</w:t>
      </w:r>
    </w:p>
    <w:p>
      <w:pPr>
        <w:pStyle w:val="Normal"/>
        <w:spacing w:before="0" w:after="120"/>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www.enron.com; and (iii) such other publicly available financial information as the other party may reasonably request.” </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$50,000,000 and (ii) Counterparty, $200,000;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$50,000, with respect to Counterparty, and $250,000, with respect to ENA,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/mnt/main-storage/datasets/enron-docs/doc/005aconf_tidewater_.doc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2001-06-21T16:06:00Z</dcterms:created>
  <dc:creator>mheard</dc:creator>
  <dc:description/>
  <dc:language>en-CA</dc:language>
  <cp:lastModifiedBy>mheard</cp:lastModifiedBy>
  <cp:lastPrinted>2001-06-21T13:51:00Z</cp:lastPrinted>
  <dcterms:modified xsi:type="dcterms:W3CDTF">2001-06-21T16:21:00Z</dcterms:modified>
  <cp:revision>3</cp:revision>
  <dc:subject/>
  <dc:title>DRAFT OF 10/15/99</dc:title>
</cp:coreProperties>
</file>