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8"/>
        <w:ind w:hanging="0" w:start="0"/>
        <w:rPr>
          <w:sz w:val="24"/>
        </w:rPr>
      </w:pPr>
      <w:r>
        <w:rPr>
          <w:sz w:val="24"/>
        </w:rPr>
        <w:t>MONT P. HOYT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P. O. Box 131026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Houston, Texas 77019-1026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713.754.5208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Transnational, transactional lawyer. Thirty years experience </w:t>
      </w:r>
      <w:r>
        <w:rPr>
          <w:sz w:val="20"/>
        </w:rPr>
        <w:t xml:space="preserve">– </w:t>
      </w:r>
      <w:r>
        <w:rPr/>
        <w:t xml:space="preserve"> developing and negotiating complex commercial arrangements and transactions </w:t>
      </w:r>
      <w:r>
        <w:rPr>
          <w:sz w:val="20"/>
        </w:rPr>
        <w:t xml:space="preserve">– </w:t>
      </w:r>
      <w:r>
        <w:rPr/>
        <w:t xml:space="preserve"> 245 clients in 83 countries.</w:t>
      </w:r>
    </w:p>
    <w:p>
      <w:pPr>
        <w:pStyle w:val="Normal"/>
        <w:jc w:val="center"/>
        <w:rPr/>
      </w:pPr>
      <w:r>
        <w:rPr/>
      </w:r>
    </w:p>
    <w:p>
      <w:pPr>
        <w:pStyle w:val="Heading9"/>
        <w:ind w:hanging="0" w:start="0"/>
        <w:rPr>
          <w:sz w:val="22"/>
        </w:rPr>
      </w:pPr>
      <w:r>
        <w:rPr>
          <w:sz w:val="22"/>
        </w:rPr>
        <w:t>PROFESSIONAL EXPERIENCE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sz w:val="20"/>
        </w:rPr>
      </w:pPr>
      <w:r>
        <w:rPr>
          <w:b/>
          <w:sz w:val="22"/>
        </w:rPr>
        <w:t>Hughes &amp; Luce LLP</w:t>
        <w:tab/>
        <w:tab/>
        <w:tab/>
        <w:tab/>
        <w:tab/>
        <w:tab/>
        <w:tab/>
        <w:tab/>
        <w:tab/>
        <w:t>1994-2000</w:t>
      </w:r>
    </w:p>
    <w:p>
      <w:pPr>
        <w:pStyle w:val="Normal"/>
        <w:rPr>
          <w:sz w:val="20"/>
        </w:rPr>
      </w:pPr>
      <w:r>
        <w:rPr>
          <w:i/>
          <w:sz w:val="20"/>
        </w:rPr>
        <w:t>Partner, Chair of International Practice Group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jc w:val="start"/>
        <w:rPr>
          <w:b/>
          <w:sz w:val="20"/>
        </w:rPr>
      </w:pPr>
      <w:r>
        <w:rPr>
          <w:sz w:val="20"/>
        </w:rPr>
        <w:t>Managed international practice group; maintained client relationships; coordinated client and practice development and international counsel forums with senior client attorneys.</w:t>
      </w:r>
    </w:p>
    <w:p>
      <w:pPr>
        <w:pStyle w:val="Normal"/>
        <w:tabs>
          <w:tab w:val="clear" w:pos="720"/>
          <w:tab w:val="right" w:pos="9120" w:leader="none"/>
        </w:tabs>
        <w:suppressAutoHyphens w:val="true"/>
        <w:jc w:val="star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tabs>
          <w:tab w:val="clear" w:pos="720"/>
          <w:tab w:val="left" w:pos="360" w:leader="none"/>
          <w:tab w:val="right" w:pos="9120" w:leader="none"/>
        </w:tabs>
        <w:suppressAutoHyphens w:val="true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Represented Wal-Mart in successful $1.2 billion purchase of CIFRA de Mexico equity interest.</w:t>
      </w:r>
    </w:p>
    <w:p>
      <w:pPr>
        <w:pStyle w:val="Normal"/>
        <w:tabs>
          <w:tab w:val="clear" w:pos="720"/>
          <w:tab w:val="right" w:pos="9120" w:leader="none"/>
        </w:tabs>
        <w:suppressAutoHyphens w:val="true"/>
        <w:jc w:val="start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360" w:leader="none"/>
          <w:tab w:val="right" w:pos="9120" w:leader="none"/>
        </w:tabs>
        <w:suppressAutoHyphens w:val="true"/>
        <w:ind w:hanging="360" w:start="360" w:end="0"/>
        <w:jc w:val="start"/>
        <w:rPr/>
      </w:pP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ab/>
        <w:t>Represented SAUR-France in successful bid for 99-year water operation and management agreement in water privatization for Mendoza Province, Argentina.</w:t>
      </w:r>
    </w:p>
    <w:p>
      <w:pPr>
        <w:pStyle w:val="Normal"/>
        <w:tabs>
          <w:tab w:val="clear" w:pos="720"/>
          <w:tab w:val="left" w:pos="360" w:leader="none"/>
          <w:tab w:val="right" w:pos="9120" w:leader="none"/>
        </w:tabs>
        <w:suppressAutoHyphens w:val="true"/>
        <w:ind w:hanging="360" w:start="360" w:end="0"/>
        <w:jc w:val="start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360" w:leader="none"/>
        </w:tabs>
        <w:ind w:hanging="360" w:start="360" w:end="0"/>
        <w:rPr/>
      </w:pP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ab/>
      </w:r>
      <w:r>
        <w:rPr>
          <w:spacing w:val="-3"/>
          <w:sz w:val="20"/>
        </w:rPr>
        <w:t>Structured and negotiated the financing and construction of a 200MW power project in Colombia on behalf of BP Amoco.</w:t>
      </w:r>
    </w:p>
    <w:p>
      <w:pPr>
        <w:pStyle w:val="Normal"/>
        <w:tabs>
          <w:tab w:val="clear" w:pos="720"/>
          <w:tab w:val="left" w:pos="360" w:leader="none"/>
        </w:tabs>
        <w:ind w:hanging="360" w:start="360" w:end="0"/>
        <w:rPr>
          <w:spacing w:val="-3"/>
          <w:sz w:val="20"/>
        </w:rPr>
      </w:pPr>
      <w:r>
        <w:rPr>
          <w:spacing w:val="-3"/>
          <w:sz w:val="20"/>
        </w:rPr>
      </w:r>
    </w:p>
    <w:p>
      <w:pPr>
        <w:pStyle w:val="BodyText"/>
        <w:tabs>
          <w:tab w:val="clear" w:pos="720"/>
          <w:tab w:val="left" w:pos="360" w:leader="none"/>
          <w:tab w:val="right" w:pos="9120" w:leader="none"/>
        </w:tabs>
        <w:suppressAutoHyphens w:val="true"/>
        <w:ind w:hanging="360" w:start="360" w:end="0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Effectuated, on behalf of EDS a $300 million outsourcing agreement for the operation of U.S., United Kingdom and Singapore data centers and the support of banking operations in 20 countries.</w:t>
      </w:r>
    </w:p>
    <w:p>
      <w:pPr>
        <w:pStyle w:val="BodyText"/>
        <w:tabs>
          <w:tab w:val="clear" w:pos="720"/>
          <w:tab w:val="left" w:pos="360" w:leader="none"/>
          <w:tab w:val="right" w:pos="9120" w:leader="none"/>
        </w:tabs>
        <w:suppressAutoHyphens w:val="true"/>
        <w:ind w:hanging="360" w:start="360" w:end="0"/>
        <w:rPr/>
      </w:pPr>
      <w:r>
        <w:rPr/>
      </w:r>
    </w:p>
    <w:p>
      <w:pPr>
        <w:pStyle w:val="BodyText"/>
        <w:tabs>
          <w:tab w:val="clear" w:pos="720"/>
          <w:tab w:val="left" w:pos="360" w:leader="none"/>
          <w:tab w:val="right" w:pos="9120" w:leader="none"/>
        </w:tabs>
        <w:suppressAutoHyphens w:val="true"/>
        <w:ind w:hanging="360" w:start="360" w:end="0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 xml:space="preserve">Represented Libbey Inc. in $250 million acquisition of Vitro S.A. </w:t>
      </w:r>
      <w:r>
        <w:rPr>
          <w:spacing w:val="-3"/>
        </w:rPr>
        <w:t>glass tableware and related industrial glass product</w:t>
      </w:r>
      <w:r>
        <w:rPr/>
        <w:t xml:space="preserve"> business.</w:t>
      </w:r>
    </w:p>
    <w:p>
      <w:pPr>
        <w:pStyle w:val="Normal"/>
        <w:tabs>
          <w:tab w:val="clear" w:pos="720"/>
          <w:tab w:val="right" w:pos="9120" w:leader="none"/>
        </w:tabs>
        <w:suppressAutoHyphens w:val="true"/>
        <w:jc w:val="start"/>
        <w:rPr>
          <w:sz w:val="20"/>
        </w:rPr>
      </w:pPr>
      <w:r>
        <w:rPr>
          <w:sz w:val="20"/>
        </w:rPr>
      </w:r>
    </w:p>
    <w:p>
      <w:pPr>
        <w:pStyle w:val="BodyText"/>
        <w:tabs>
          <w:tab w:val="clear" w:pos="720"/>
          <w:tab w:val="left" w:pos="360" w:leader="none"/>
          <w:tab w:val="right" w:pos="9120" w:leader="none"/>
        </w:tabs>
        <w:suppressAutoHyphens w:val="true"/>
        <w:ind w:hanging="360" w:start="360" w:end="0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ab/>
        <w:t xml:space="preserve">Structured and negotiated, on behalf of EDS more than $100 million of outsourcing contracts to automate the Saudi and Kuwaiti social security systems, and to manage each country's  data processing activities.  </w:t>
      </w:r>
    </w:p>
    <w:p>
      <w:pPr>
        <w:pStyle w:val="Normal"/>
        <w:tabs>
          <w:tab w:val="clear" w:pos="720"/>
          <w:tab w:val="left" w:pos="360" w:leader="none"/>
        </w:tabs>
        <w:ind w:hanging="360" w:start="360" w:end="0"/>
        <w:rPr>
          <w:spacing w:val="-3"/>
          <w:sz w:val="20"/>
        </w:rPr>
      </w:pPr>
      <w:r>
        <w:rPr>
          <w:spacing w:val="-3"/>
          <w:sz w:val="20"/>
        </w:rPr>
      </w:r>
    </w:p>
    <w:p>
      <w:pPr>
        <w:pStyle w:val="Normal"/>
        <w:tabs>
          <w:tab w:val="clear" w:pos="720"/>
          <w:tab w:val="left" w:pos="360" w:leader="none"/>
        </w:tabs>
        <w:ind w:hanging="360" w:start="360" w:end="0"/>
        <w:rPr/>
      </w:pP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ab/>
        <w:t>Financed the Santa Cruz, Bolivia oil field on behalf of a U.S.-based multinational oil company, including negotiations with governmental and related entities that provide development loans to the Andean countries.</w:t>
      </w:r>
    </w:p>
    <w:p>
      <w:pPr>
        <w:pStyle w:val="Footer"/>
        <w:tabs>
          <w:tab w:val="clear" w:pos="4680"/>
          <w:tab w:val="clear" w:pos="9360"/>
        </w:tabs>
        <w:rPr>
          <w:sz w:val="22"/>
        </w:rPr>
      </w:pPr>
      <w:r>
        <w:rPr>
          <w:sz w:val="22"/>
        </w:rPr>
      </w:r>
    </w:p>
    <w:p>
      <w:pPr>
        <w:pStyle w:val="Heading4"/>
        <w:ind w:hanging="0" w:start="0"/>
        <w:rPr>
          <w:sz w:val="20"/>
        </w:rPr>
      </w:pPr>
      <w:r>
        <w:rPr>
          <w:sz w:val="22"/>
        </w:rPr>
        <w:t>Verner, Liipfert Bernhard McPherson &amp; Hand Chartered</w:t>
        <w:tab/>
        <w:tab/>
        <w:tab/>
        <w:tab/>
        <w:t>1993-94</w:t>
      </w:r>
    </w:p>
    <w:p>
      <w:pPr>
        <w:pStyle w:val="Normal"/>
        <w:jc w:val="start"/>
        <w:rPr>
          <w:sz w:val="20"/>
        </w:rPr>
      </w:pPr>
      <w:r>
        <w:rPr>
          <w:i/>
          <w:sz w:val="20"/>
        </w:rPr>
        <w:t>Shareholder</w:t>
      </w:r>
    </w:p>
    <w:p>
      <w:pPr>
        <w:pStyle w:val="Normal"/>
        <w:jc w:val="start"/>
        <w:rPr>
          <w:sz w:val="20"/>
        </w:rPr>
      </w:pPr>
      <w:r>
        <w:rPr>
          <w:sz w:val="20"/>
        </w:rPr>
      </w:r>
    </w:p>
    <w:p>
      <w:pPr>
        <w:pStyle w:val="Normal"/>
        <w:jc w:val="start"/>
        <w:rPr>
          <w:sz w:val="20"/>
        </w:rPr>
      </w:pPr>
      <w:r>
        <w:rPr>
          <w:sz w:val="20"/>
        </w:rPr>
        <w:t>Managed team focused on international privatization practice and general international business.</w:t>
      </w:r>
    </w:p>
    <w:p>
      <w:pPr>
        <w:pStyle w:val="Normal"/>
        <w:jc w:val="start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360" w:leader="none"/>
          <w:tab w:val="right" w:pos="9120" w:leader="none"/>
        </w:tabs>
        <w:suppressAutoHyphens w:val="true"/>
        <w:ind w:hanging="360" w:start="360" w:end="0"/>
        <w:jc w:val="start"/>
        <w:rPr/>
      </w:pP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ab/>
        <w:t>Researched and prepared bid documentation on behalf of U.S. consortium's bid for privatization of Quito, Ecuador airport.</w:t>
      </w:r>
    </w:p>
    <w:p>
      <w:pPr>
        <w:pStyle w:val="Normal"/>
        <w:tabs>
          <w:tab w:val="clear" w:pos="720"/>
          <w:tab w:val="left" w:pos="360" w:leader="none"/>
          <w:tab w:val="right" w:pos="9120" w:leader="none"/>
        </w:tabs>
        <w:suppressAutoHyphens w:val="true"/>
        <w:ind w:hanging="360" w:start="360" w:end="0"/>
        <w:jc w:val="start"/>
        <w:rPr>
          <w:sz w:val="20"/>
        </w:rPr>
      </w:pPr>
      <w:r>
        <w:rPr>
          <w:sz w:val="20"/>
        </w:rPr>
      </w:r>
    </w:p>
    <w:p>
      <w:pPr>
        <w:pStyle w:val="Normal"/>
        <w:ind w:hanging="360" w:start="360" w:end="0"/>
        <w:rPr/>
      </w:pP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ab/>
        <w:t>Organized a $50 million Mexican venture to engage in oil field equipment manufacture with foreign ownership.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360" w:leader="none"/>
        </w:tabs>
        <w:rPr/>
      </w:pP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ab/>
        <w:t>Represented Owens Illinois in $100 million purchase of equity interest in Vitro plastic container and top business.</w:t>
      </w:r>
      <w:r>
        <w:br w:type="page"/>
      </w:r>
    </w:p>
    <w:p>
      <w:pPr>
        <w:pStyle w:val="Normal"/>
        <w:tabs>
          <w:tab w:val="clear" w:pos="720"/>
          <w:tab w:val="right" w:pos="9120" w:leader="none"/>
        </w:tabs>
        <w:suppressAutoHyphens w:val="true"/>
        <w:jc w:val="start"/>
        <w:rPr>
          <w:sz w:val="22"/>
        </w:rPr>
      </w:pPr>
      <w:r>
        <w:rPr>
          <w:sz w:val="22"/>
        </w:rPr>
      </w:r>
    </w:p>
    <w:p>
      <w:pPr>
        <w:pStyle w:val="Heading4"/>
        <w:ind w:hanging="0" w:start="0"/>
        <w:rPr>
          <w:sz w:val="20"/>
        </w:rPr>
      </w:pPr>
      <w:r>
        <w:rPr>
          <w:sz w:val="22"/>
        </w:rPr>
        <w:t>Baker Botts LLP</w:t>
        <w:tab/>
        <w:tab/>
        <w:tab/>
        <w:tab/>
        <w:tab/>
        <w:tab/>
        <w:tab/>
        <w:tab/>
        <w:tab/>
        <w:t>1968-93</w:t>
      </w:r>
    </w:p>
    <w:p>
      <w:pPr>
        <w:pStyle w:val="Normal"/>
        <w:jc w:val="start"/>
        <w:rPr>
          <w:i/>
          <w:i/>
          <w:sz w:val="20"/>
        </w:rPr>
      </w:pPr>
      <w:r>
        <w:rPr>
          <w:i/>
          <w:sz w:val="20"/>
        </w:rPr>
        <w:t>Associate – 1968-75; Partner – 1975-93</w:t>
      </w:r>
    </w:p>
    <w:p>
      <w:pPr>
        <w:pStyle w:val="Normal"/>
        <w:jc w:val="star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jc w:val="start"/>
        <w:rPr>
          <w:sz w:val="20"/>
        </w:rPr>
      </w:pPr>
      <w:r>
        <w:rPr>
          <w:sz w:val="20"/>
        </w:rPr>
        <w:t>Developed and built teams focused on European, Middle East and Far East clients; specialized in natural resource transactions and corporate acquisitions.</w:t>
      </w:r>
    </w:p>
    <w:p>
      <w:pPr>
        <w:pStyle w:val="Normal"/>
        <w:tabs>
          <w:tab w:val="clear" w:pos="720"/>
          <w:tab w:val="right" w:pos="9120" w:leader="none"/>
        </w:tabs>
        <w:suppressAutoHyphens w:val="true"/>
        <w:jc w:val="start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360" w:leader="none"/>
          <w:tab w:val="right" w:pos="9120" w:leader="none"/>
        </w:tabs>
        <w:suppressAutoHyphens w:val="true"/>
        <w:ind w:hanging="360" w:start="360" w:end="0"/>
        <w:jc w:val="start"/>
        <w:rPr/>
      </w:pP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ab/>
        <w:t>Represented HL&amp;P in the privatization of a publicly-held electric generation and distribution company located in La Plata, Argentina.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360" w:leader="none"/>
        </w:tabs>
        <w:ind w:hanging="360" w:start="360" w:end="0"/>
        <w:rPr/>
      </w:pP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ab/>
        <w:t>Represented a major Mexican oil and gas equipment manufacturer in forming joint ventures with numerous U.S.</w:t>
        <w:noBreakHyphen/>
        <w:t>based oil field equipment manufacturers to develop technology and equipment for sale and use in Mexico, Latin America and the U.S.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360" w:leader="none"/>
        </w:tabs>
        <w:ind w:hanging="360" w:start="360" w:end="0"/>
        <w:rPr>
          <w:spacing w:val="-3"/>
          <w:sz w:val="20"/>
        </w:rPr>
      </w:pP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ab/>
        <w:t>Prepared bid documentation on behalf of U.S. pipeline construction company and successfully concluded construction agreements with SONATRACH for $100m of compression stations on the Hassi R'Mel-Skikda and Hassi R'Mel-Azew gas pipelines in Algeria.</w:t>
      </w:r>
    </w:p>
    <w:p>
      <w:pPr>
        <w:pStyle w:val="Normal"/>
        <w:rPr>
          <w:spacing w:val="-3"/>
          <w:sz w:val="20"/>
        </w:rPr>
      </w:pPr>
      <w:r>
        <w:rPr>
          <w:spacing w:val="-3"/>
          <w:sz w:val="20"/>
        </w:rPr>
      </w:r>
    </w:p>
    <w:p>
      <w:pPr>
        <w:pStyle w:val="Normal"/>
        <w:tabs>
          <w:tab w:val="clear" w:pos="720"/>
          <w:tab w:val="left" w:pos="360" w:leader="none"/>
        </w:tabs>
        <w:ind w:hanging="360" w:start="360" w:end="0"/>
        <w:rPr>
          <w:spacing w:val="-3"/>
          <w:sz w:val="20"/>
        </w:rPr>
      </w:pP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ab/>
        <w:t>Successfully negotiated financing, sales and transportation agreements for two $400 million trains of liquidated natural gas in Indonesia on behalf of HUFFCO.</w:t>
      </w:r>
    </w:p>
    <w:p>
      <w:pPr>
        <w:pStyle w:val="Normal"/>
        <w:rPr>
          <w:spacing w:val="-3"/>
          <w:sz w:val="20"/>
        </w:rPr>
      </w:pPr>
      <w:r>
        <w:rPr>
          <w:spacing w:val="-3"/>
          <w:sz w:val="20"/>
        </w:rPr>
      </w:r>
    </w:p>
    <w:p>
      <w:pPr>
        <w:pStyle w:val="Normal"/>
        <w:tabs>
          <w:tab w:val="clear" w:pos="720"/>
          <w:tab w:val="left" w:pos="360" w:leader="none"/>
        </w:tabs>
        <w:ind w:hanging="360" w:start="360" w:end="0"/>
        <w:rPr/>
      </w:pP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ab/>
        <w:t>Developed a successful multi-stage workout strategy for a major Mexican oil field and refinery equipment manufacturer to restructure over $200 million in debt owed to over 20 foreign banks and institutions.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PROFESSIONAL ACTIVITIES AND EDUCATION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sz w:val="20"/>
        </w:rPr>
      </w:pPr>
      <w:r>
        <w:rPr>
          <w:sz w:val="20"/>
        </w:rPr>
        <w:tab/>
        <w:t>Secretary – Rapporteur, Houston Committee on Foreign Relations – 1995-Present;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start="720" w:end="0"/>
        <w:rPr>
          <w:sz w:val="20"/>
        </w:rPr>
      </w:pPr>
      <w:r>
        <w:rPr>
          <w:sz w:val="20"/>
        </w:rPr>
        <w:t xml:space="preserve">Director, Board of the Comparative Law Center and the Institute for Transnational Arbitration of      Southwestern  Legal Foundation – 2000-Present;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sz w:val="20"/>
        </w:rPr>
      </w:pPr>
      <w:r>
        <w:rPr>
          <w:sz w:val="20"/>
        </w:rPr>
        <w:tab/>
        <w:t>Member, Council on Foreign Relations (1985–Present) and Pacific Council (1993-Present);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sz w:val="20"/>
        </w:rPr>
      </w:pPr>
      <w:r>
        <w:rPr>
          <w:sz w:val="20"/>
        </w:rPr>
        <w:tab/>
        <w:t>Chairman, InterAmerican Chamber of Commerce – 1996-98;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sz w:val="20"/>
        </w:rPr>
      </w:pPr>
      <w:r>
        <w:rPr>
          <w:sz w:val="20"/>
        </w:rPr>
        <w:tab/>
        <w:t>Director, World Trade Division, Greater Houston Partnership – 1993-96;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sz w:val="20"/>
        </w:rPr>
      </w:pPr>
      <w:r>
        <w:rPr>
          <w:sz w:val="20"/>
        </w:rPr>
        <w:tab/>
        <w:t>Chairman , Houston Committee on Foreign Relations – 1991-92;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sz w:val="20"/>
        </w:rPr>
      </w:pPr>
      <w:r>
        <w:rPr>
          <w:sz w:val="20"/>
        </w:rPr>
        <w:tab/>
        <w:t>Director, American Foreign Policy Association – 1991-93;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sz w:val="20"/>
        </w:rPr>
      </w:pPr>
      <w:r>
        <w:rPr>
          <w:sz w:val="20"/>
        </w:rPr>
        <w:tab/>
        <w:t>Director, Mexican Cultural Institute – 1991-95;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sz w:val="20"/>
        </w:rPr>
      </w:pPr>
      <w:r>
        <w:rPr>
          <w:sz w:val="20"/>
        </w:rPr>
        <w:tab/>
        <w:t>Chairman, American Bar Association's Section of International Law – 1984-85;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sz w:val="20"/>
        </w:rPr>
      </w:pPr>
      <w:r>
        <w:rPr>
          <w:sz w:val="20"/>
        </w:rPr>
        <w:tab/>
        <w:t>Director,  International Bar Association 's Section of Energy &amp; Natural Resources Law – 1983-86;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sz w:val="20"/>
        </w:rPr>
      </w:pPr>
      <w:r>
        <w:rPr>
          <w:sz w:val="20"/>
        </w:rPr>
        <w:tab/>
        <w:t>President, French</w:t>
        <w:noBreakHyphen/>
        <w:t>American Chamber of Commerce of Houston – 1981-82;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sz w:val="20"/>
        </w:rPr>
      </w:pPr>
      <w:r>
        <w:rPr>
          <w:sz w:val="20"/>
        </w:rPr>
        <w:tab/>
        <w:t>Director, French</w:t>
        <w:noBreakHyphen/>
        <w:t xml:space="preserve">American Foundation – 1979-85.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start="720" w:end="0"/>
        <w:rPr>
          <w:sz w:val="20"/>
        </w:rPr>
      </w:pPr>
      <w:r>
        <w:rPr>
          <w:sz w:val="20"/>
        </w:rPr>
        <w:t>Member, State Bar of Oklahoma (1965-Present) and State Bar of Texas (1968-Present), and American Law    Institute (1992-Present).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start="720" w:end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/>
      </w:pPr>
      <w:r>
        <w:rPr>
          <w:sz w:val="20"/>
        </w:rPr>
        <w:tab/>
      </w:r>
      <w:r>
        <w:rPr>
          <w:b/>
          <w:sz w:val="20"/>
        </w:rPr>
        <w:t>Northwestern University</w:t>
      </w:r>
      <w:r>
        <w:rPr>
          <w:sz w:val="20"/>
        </w:rPr>
        <w:t xml:space="preserve"> – B.A. Political Science – 1962.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/>
      </w:pPr>
      <w:r>
        <w:rPr>
          <w:sz w:val="20"/>
        </w:rPr>
        <w:tab/>
      </w:r>
      <w:r>
        <w:rPr>
          <w:b/>
          <w:sz w:val="20"/>
        </w:rPr>
        <w:t>University of Oklahoma School of Law</w:t>
      </w:r>
      <w:r>
        <w:rPr>
          <w:sz w:val="20"/>
        </w:rPr>
        <w:t xml:space="preserve"> – J.D. – 1965.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/>
      </w:pPr>
      <w:r>
        <w:rPr>
          <w:sz w:val="20"/>
        </w:rPr>
        <w:tab/>
      </w:r>
      <w:r>
        <w:rPr>
          <w:b/>
          <w:sz w:val="20"/>
        </w:rPr>
        <w:t>University of Chicago Law School</w:t>
      </w:r>
      <w:r>
        <w:rPr>
          <w:sz w:val="20"/>
        </w:rPr>
        <w:t xml:space="preserve"> – Masters-in-Comparative Law  – 1968.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/>
      </w:pPr>
      <w:r>
        <w:rPr>
          <w:sz w:val="20"/>
        </w:rPr>
        <w:tab/>
      </w:r>
      <w:r>
        <w:rPr>
          <w:b/>
          <w:sz w:val="20"/>
        </w:rPr>
        <w:t>Proficient in Spanish and French</w:t>
      </w:r>
      <w:r>
        <w:rPr>
          <w:sz w:val="20"/>
        </w:rPr>
        <w:t>.</w:t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jc w:val="end"/>
      <w:rPr>
        <w:sz w:val="16"/>
      </w:rPr>
    </w:pPr>
    <w:r>
      <w:rPr>
        <w:sz w:val="16"/>
      </w:rPr>
      <w:softHyphen/>
      <w:t>955700.01299:53092.03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start"/>
      <w:outlineLvl w:val="0"/>
    </w:pPr>
    <w:rPr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start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start"/>
      <w:outlineLvl w:val="2"/>
    </w:pPr>
    <w:rPr/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star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jc w:val="start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jc w:val="start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jc w:val="start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b/>
    </w:rPr>
  </w:style>
  <w:style w:type="character" w:styleId="WW8Num1z0">
    <w:name w:val="WW8Num1z0"/>
    <w:qFormat/>
    <w:rPr>
      <w:rFonts w:ascii="Symbol" w:hAnsi="Symbol" w:cs="Symbol"/>
      <w:color w:val="auto"/>
      <w:sz w:val="28"/>
    </w:rPr>
  </w:style>
  <w:style w:type="character" w:styleId="WW8Num2z0">
    <w:name w:val="WW8Num2z0"/>
    <w:qFormat/>
    <w:rPr>
      <w:rFonts w:ascii="Symbol" w:hAnsi="Symbol" w:cs="Symbol"/>
      <w:color w:val="auto"/>
      <w:sz w:val="28"/>
    </w:rPr>
  </w:style>
  <w:style w:type="character" w:styleId="WW8Num3z0">
    <w:name w:val="WW8Num3z0"/>
    <w:qFormat/>
    <w:rPr>
      <w:rFonts w:ascii="Symbol" w:hAnsi="Symbol" w:cs="Symbol"/>
      <w:color w:val="auto"/>
      <w:sz w:val="28"/>
    </w:rPr>
  </w:style>
  <w:style w:type="character" w:styleId="WW8Num4z0">
    <w:name w:val="WW8Num4z0"/>
    <w:qFormat/>
    <w:rPr>
      <w:rFonts w:ascii="Symbol" w:hAnsi="Symbol" w:cs="Symbol"/>
      <w:color w:val="auto"/>
      <w:sz w:val="28"/>
    </w:rPr>
  </w:style>
  <w:style w:type="character" w:styleId="WW8Num5z0">
    <w:name w:val="WW8Num5z0"/>
    <w:qFormat/>
    <w:rPr>
      <w:rFonts w:ascii="Symbol" w:hAnsi="Symbol" w:cs="Symbol"/>
      <w:color w:val="auto"/>
      <w:sz w:val="28"/>
    </w:rPr>
  </w:style>
  <w:style w:type="character" w:styleId="WW8Num6z0">
    <w:name w:val="WW8Num6z0"/>
    <w:qFormat/>
    <w:rPr>
      <w:rFonts w:ascii="Symbol" w:hAnsi="Symbol" w:cs="Symbol"/>
      <w:color w:val="auto"/>
      <w:sz w:val="28"/>
    </w:rPr>
  </w:style>
  <w:style w:type="character" w:styleId="WW8Num7z0">
    <w:name w:val="WW8Num7z0"/>
    <w:qFormat/>
    <w:rPr>
      <w:rFonts w:ascii="Symbol" w:hAnsi="Symbol" w:cs="Symbol"/>
      <w:color w:val="auto"/>
      <w:sz w:val="28"/>
    </w:rPr>
  </w:style>
  <w:style w:type="character" w:styleId="WW8Num8z0">
    <w:name w:val="WW8Num8z0"/>
    <w:qFormat/>
    <w:rPr>
      <w:rFonts w:ascii="Symbol" w:hAnsi="Symbol" w:cs="Symbol"/>
      <w:color w:val="auto"/>
      <w:sz w:val="28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  <w:color w:val="auto"/>
      <w:sz w:val="28"/>
    </w:rPr>
  </w:style>
  <w:style w:type="character" w:styleId="WW8Num11z0">
    <w:name w:val="WW8Num11z0"/>
    <w:qFormat/>
    <w:rPr>
      <w:rFonts w:ascii="Symbol" w:hAnsi="Symbol" w:cs="Symbol"/>
      <w:color w:val="auto"/>
      <w:sz w:val="28"/>
    </w:rPr>
  </w:style>
  <w:style w:type="character" w:styleId="WW8Num12z0">
    <w:name w:val="WW8Num12z0"/>
    <w:qFormat/>
    <w:rPr>
      <w:rFonts w:ascii="Symbol" w:hAnsi="Symbol" w:cs="Symbol"/>
      <w:color w:val="auto"/>
      <w:sz w:val="28"/>
    </w:rPr>
  </w:style>
  <w:style w:type="character" w:styleId="WW8Num13z0">
    <w:name w:val="WW8Num13z0"/>
    <w:qFormat/>
    <w:rPr>
      <w:rFonts w:ascii="Symbol" w:hAnsi="Symbol" w:cs="Symbol"/>
      <w:color w:val="auto"/>
      <w:sz w:val="28"/>
    </w:rPr>
  </w:style>
  <w:style w:type="character" w:styleId="WW8Num14z0">
    <w:name w:val="WW8Num14z0"/>
    <w:qFormat/>
    <w:rPr>
      <w:rFonts w:ascii="Symbol" w:hAnsi="Symbol" w:cs="Symbol"/>
      <w:color w:val="auto"/>
      <w:sz w:val="28"/>
    </w:rPr>
  </w:style>
  <w:style w:type="character" w:styleId="WW8Num15z0">
    <w:name w:val="WW8Num15z0"/>
    <w:qFormat/>
    <w:rPr>
      <w:rFonts w:ascii="Symbol" w:hAnsi="Symbol" w:cs="Symbol"/>
      <w:color w:val="auto"/>
      <w:sz w:val="28"/>
    </w:rPr>
  </w:style>
  <w:style w:type="character" w:styleId="WW8Num16z0">
    <w:name w:val="WW8Num16z0"/>
    <w:qFormat/>
    <w:rPr>
      <w:rFonts w:ascii="Symbol" w:hAnsi="Symbol" w:cs="Symbol"/>
      <w:color w:val="auto"/>
      <w:sz w:val="28"/>
    </w:rPr>
  </w:style>
  <w:style w:type="character" w:styleId="WW8Num17z0">
    <w:name w:val="WW8Num17z0"/>
    <w:qFormat/>
    <w:rPr>
      <w:rFonts w:ascii="Symbol" w:hAnsi="Symbol" w:cs="Symbol"/>
      <w:color w:val="auto"/>
      <w:sz w:val="28"/>
    </w:rPr>
  </w:style>
  <w:style w:type="character" w:styleId="WW8Num18z0">
    <w:name w:val="WW8Num18z0"/>
    <w:qFormat/>
    <w:rPr>
      <w:rFonts w:ascii="Symbol" w:hAnsi="Symbol" w:cs="Symbol"/>
      <w:color w:val="auto"/>
      <w:sz w:val="28"/>
    </w:rPr>
  </w:style>
  <w:style w:type="character" w:styleId="WW8Num19z0">
    <w:name w:val="WW8Num19z0"/>
    <w:qFormat/>
    <w:rPr>
      <w:rFonts w:ascii="Symbol" w:hAnsi="Symbol" w:cs="Symbol"/>
      <w:color w:val="auto"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  <w:outlineLvl w:val="0"/>
    </w:pPr>
    <w:rPr>
      <w:b/>
      <w:kern w:val="2"/>
      <w:sz w:val="32"/>
    </w:rPr>
  </w:style>
  <w:style w:type="paragraph" w:styleId="BodyText">
    <w:name w:val="Body Text"/>
    <w:basedOn w:val="Normal"/>
    <w:pPr>
      <w:jc w:val="start"/>
    </w:pPr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jc w:val="start"/>
    </w:pPr>
    <w:rPr>
      <w:b/>
      <w:sz w:val="20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ind w:hanging="0" w:start="1440" w:end="1440"/>
      <w:jc w:val="start"/>
    </w:pPr>
    <w:rPr>
      <w:sz w:val="20"/>
    </w:rPr>
  </w:style>
  <w:style w:type="paragraph" w:styleId="BodyText2">
    <w:name w:val="Body Text 2"/>
    <w:basedOn w:val="Normal"/>
    <w:qFormat/>
    <w:pPr>
      <w:spacing w:lineRule="auto" w:line="480"/>
      <w:jc w:val="start"/>
    </w:pPr>
    <w:rPr>
      <w:sz w:val="20"/>
    </w:rPr>
  </w:style>
  <w:style w:type="paragraph" w:styleId="BodyText3">
    <w:name w:val="Body Text 3"/>
    <w:basedOn w:val="Normal"/>
    <w:qFormat/>
    <w:pPr>
      <w:jc w:val="start"/>
    </w:pPr>
    <w:rPr>
      <w:sz w:val="16"/>
    </w:rPr>
  </w:style>
  <w:style w:type="paragraph" w:styleId="BodyTextFirstIndent">
    <w:name w:val="Body Text First Indent"/>
    <w:basedOn w:val="BodyText"/>
    <w:qFormat/>
    <w:pPr>
      <w:ind w:firstLine="216" w:start="0" w:end="0"/>
    </w:pPr>
    <w:rPr/>
  </w:style>
  <w:style w:type="paragraph" w:styleId="BodyTextIndent">
    <w:name w:val="Body Text Indent"/>
    <w:basedOn w:val="Normal"/>
    <w:pPr>
      <w:ind w:hanging="0" w:start="360" w:end="0"/>
      <w:jc w:val="start"/>
    </w:pPr>
    <w:rPr>
      <w:sz w:val="20"/>
    </w:rPr>
  </w:style>
  <w:style w:type="paragraph" w:styleId="BodyTextFirstIndent2">
    <w:name w:val="Body Text First Indent 2"/>
    <w:basedOn w:val="BodyTextIndent"/>
    <w:qFormat/>
    <w:pPr>
      <w:spacing w:before="0" w:after="0"/>
      <w:ind w:firstLine="216" w:start="360" w:end="0"/>
      <w:jc w:val="start"/>
    </w:pPr>
    <w:rPr>
      <w:sz w:val="20"/>
    </w:rPr>
  </w:style>
  <w:style w:type="paragraph" w:styleId="BodyTextIndent2">
    <w:name w:val="Body Text Indent 2"/>
    <w:basedOn w:val="Normal"/>
    <w:qFormat/>
    <w:pPr>
      <w:spacing w:lineRule="auto" w:line="480"/>
      <w:ind w:hanging="0" w:start="360" w:end="0"/>
      <w:jc w:val="start"/>
    </w:pPr>
    <w:rPr>
      <w:sz w:val="20"/>
    </w:rPr>
  </w:style>
  <w:style w:type="paragraph" w:styleId="BodyTextIndent3">
    <w:name w:val="Body Text Indent 3"/>
    <w:basedOn w:val="Normal"/>
    <w:qFormat/>
    <w:pPr>
      <w:ind w:hanging="0" w:start="360" w:end="0"/>
      <w:jc w:val="start"/>
    </w:pPr>
    <w:rPr>
      <w:sz w:val="16"/>
    </w:rPr>
  </w:style>
  <w:style w:type="paragraph" w:styleId="EnvelopeAddress">
    <w:name w:val="envelope address"/>
    <w:basedOn w:val="Normal"/>
    <w:pPr>
      <w:ind w:hanging="0" w:start="2880" w:end="0"/>
      <w:jc w:val="start"/>
    </w:pPr>
    <w:rPr/>
  </w:style>
  <w:style w:type="paragraph" w:styleId="EnvelopeReturn">
    <w:name w:val="envelope return"/>
    <w:basedOn w:val="Normal"/>
    <w:pPr>
      <w:jc w:val="start"/>
    </w:pPr>
    <w:rPr>
      <w:sz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Index1">
    <w:name w:val="index 1"/>
    <w:basedOn w:val="Normal"/>
    <w:next w:val="Normal"/>
    <w:pPr>
      <w:ind w:hanging="240" w:start="240" w:end="0"/>
    </w:pPr>
    <w:rPr/>
  </w:style>
  <w:style w:type="paragraph" w:styleId="IndexHeading">
    <w:name w:val="index heading"/>
    <w:basedOn w:val="Normal"/>
    <w:next w:val="Index1"/>
    <w:pPr>
      <w:jc w:val="start"/>
    </w:pPr>
    <w:rPr>
      <w:b/>
      <w:sz w:val="20"/>
    </w:rPr>
  </w:style>
  <w:style w:type="paragraph" w:styleId="ListContinue">
    <w:name w:val="List Continue"/>
    <w:basedOn w:val="Normal"/>
    <w:qFormat/>
    <w:pPr>
      <w:spacing w:before="0" w:after="120"/>
      <w:ind w:hanging="0" w:start="360" w:end="0"/>
      <w:jc w:val="start"/>
    </w:pPr>
    <w:rPr>
      <w:sz w:val="20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1080" w:start="1080" w:end="0"/>
      <w:jc w:val="start"/>
    </w:pPr>
    <w:rPr/>
  </w:style>
  <w:style w:type="paragraph" w:styleId="Subtitle">
    <w:name w:val="Subtitle"/>
    <w:basedOn w:val="Normal"/>
    <w:next w:val="BodyText"/>
    <w:qFormat/>
    <w:pPr>
      <w:jc w:val="center"/>
      <w:outlineLvl w:val="1"/>
    </w:pPr>
    <w:rPr/>
  </w:style>
  <w:style w:type="paragraph" w:styleId="TOAHeading">
    <w:name w:val="TOA Heading"/>
    <w:basedOn w:val="Normal"/>
    <w:next w:val="Normal"/>
    <w:qFormat/>
    <w:pPr/>
    <w:rPr>
      <w:b/>
    </w:rPr>
  </w:style>
  <w:style w:type="paragraph" w:styleId="TOC1">
    <w:name w:val="toc 1"/>
    <w:basedOn w:val="Normal"/>
    <w:next w:val="Normal"/>
    <w:pPr>
      <w:tabs>
        <w:tab w:val="left" w:pos="720" w:leader="none"/>
        <w:tab w:val="right" w:pos="9000" w:leader="dot"/>
        <w:tab w:val="right" w:pos="9360" w:leader="none"/>
      </w:tabs>
    </w:pPr>
    <w:rPr/>
  </w:style>
  <w:style w:type="paragraph" w:styleId="TOC2">
    <w:name w:val="toc 2"/>
    <w:basedOn w:val="Normal"/>
    <w:next w:val="Normal"/>
    <w:pPr>
      <w:tabs>
        <w:tab w:val="clear" w:pos="720"/>
        <w:tab w:val="left" w:pos="1440" w:leader="none"/>
        <w:tab w:val="right" w:pos="9000" w:leader="dot"/>
        <w:tab w:val="right" w:pos="9360" w:leader="none"/>
      </w:tabs>
      <w:ind w:hanging="0" w:start="720" w:end="0"/>
    </w:pPr>
    <w:rPr/>
  </w:style>
  <w:style w:type="paragraph" w:styleId="TOC3">
    <w:name w:val="toc 3"/>
    <w:basedOn w:val="Normal"/>
    <w:next w:val="Normal"/>
    <w:pPr>
      <w:tabs>
        <w:tab w:val="clear" w:pos="720"/>
        <w:tab w:val="left" w:pos="2160" w:leader="none"/>
        <w:tab w:val="right" w:pos="9000" w:leader="dot"/>
        <w:tab w:val="right" w:pos="9360" w:leader="none"/>
      </w:tabs>
      <w:ind w:hanging="0" w:start="1440" w:end="0"/>
    </w:pPr>
    <w:rPr/>
  </w:style>
  <w:style w:type="paragraph" w:styleId="TOC4">
    <w:name w:val="toc 4"/>
    <w:basedOn w:val="Normal"/>
    <w:next w:val="Normal"/>
    <w:pPr>
      <w:tabs>
        <w:tab w:val="clear" w:pos="720"/>
        <w:tab w:val="left" w:pos="2880" w:leader="none"/>
        <w:tab w:val="right" w:pos="9000" w:leader="dot"/>
        <w:tab w:val="right" w:pos="9360" w:leader="none"/>
      </w:tabs>
      <w:ind w:hanging="0" w:start="2160" w:end="0"/>
    </w:pPr>
    <w:rPr/>
  </w:style>
  <w:style w:type="paragraph" w:styleId="TOC5">
    <w:name w:val="toc 5"/>
    <w:basedOn w:val="Normal"/>
    <w:next w:val="Normal"/>
    <w:pPr>
      <w:tabs>
        <w:tab w:val="clear" w:pos="720"/>
        <w:tab w:val="left" w:pos="3600" w:leader="none"/>
        <w:tab w:val="right" w:pos="9000" w:leader="dot"/>
        <w:tab w:val="right" w:pos="9360" w:leader="none"/>
      </w:tabs>
      <w:ind w:hanging="0" w:start="2880" w:end="0"/>
    </w:pPr>
    <w:rPr/>
  </w:style>
  <w:style w:type="paragraph" w:styleId="TOC6">
    <w:name w:val="toc 6"/>
    <w:basedOn w:val="Normal"/>
    <w:next w:val="Normal"/>
    <w:pPr>
      <w:tabs>
        <w:tab w:val="clear" w:pos="720"/>
        <w:tab w:val="left" w:pos="4320" w:leader="none"/>
        <w:tab w:val="right" w:pos="9000" w:leader="dot"/>
        <w:tab w:val="right" w:pos="9360" w:leader="none"/>
      </w:tabs>
      <w:ind w:hanging="0" w:start="3600" w:end="0"/>
    </w:pPr>
    <w:rPr/>
  </w:style>
  <w:style w:type="paragraph" w:styleId="TOC7">
    <w:name w:val="toc 7"/>
    <w:basedOn w:val="Normal"/>
    <w:next w:val="Normal"/>
    <w:pPr>
      <w:tabs>
        <w:tab w:val="clear" w:pos="720"/>
        <w:tab w:val="left" w:pos="5040" w:leader="none"/>
        <w:tab w:val="right" w:pos="9000" w:leader="dot"/>
        <w:tab w:val="right" w:pos="9360" w:leader="none"/>
      </w:tabs>
      <w:ind w:hanging="0" w:start="4320" w:end="0"/>
    </w:pPr>
    <w:rPr/>
  </w:style>
  <w:style w:type="paragraph" w:styleId="TOC8">
    <w:name w:val="toc 8"/>
    <w:basedOn w:val="Normal"/>
    <w:next w:val="Normal"/>
    <w:pPr>
      <w:tabs>
        <w:tab w:val="clear" w:pos="720"/>
        <w:tab w:val="left" w:pos="5760" w:leader="none"/>
        <w:tab w:val="right" w:pos="9000" w:leader="dot"/>
        <w:tab w:val="right" w:pos="9360" w:leader="none"/>
      </w:tabs>
      <w:ind w:hanging="0" w:start="5040" w:end="0"/>
    </w:pPr>
    <w:rPr/>
  </w:style>
  <w:style w:type="paragraph" w:styleId="TOC9">
    <w:name w:val="toc 9"/>
    <w:basedOn w:val="Normal"/>
    <w:next w:val="Normal"/>
    <w:pPr>
      <w:tabs>
        <w:tab w:val="clear" w:pos="720"/>
        <w:tab w:val="left" w:pos="6480" w:leader="none"/>
        <w:tab w:val="right" w:pos="9000" w:leader="dot"/>
        <w:tab w:val="right" w:pos="9360" w:leader="none"/>
      </w:tabs>
      <w:ind w:hanging="0" w:start="5760" w:end="0"/>
    </w:pPr>
    <w:rPr/>
  </w:style>
  <w:style w:type="paragraph" w:styleId="FootnoteText">
    <w:name w:val="footnote text"/>
    <w:basedOn w:val="Normal"/>
    <w:pPr>
      <w:ind w:hanging="720" w:start="720" w:end="0"/>
    </w:pPr>
    <w:rPr>
      <w:sz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2000-11-09T17:52:00Z</dcterms:created>
  <dc:creator>hoytm</dc:creator>
  <dc:description/>
  <dc:language>en-CA</dc:language>
  <cp:lastModifiedBy>hoytm</cp:lastModifiedBy>
  <cp:lastPrinted>2000-08-22T14:37:00Z</cp:lastPrinted>
  <dcterms:modified xsi:type="dcterms:W3CDTF">2000-11-09T17:52:00Z</dcterms:modified>
  <cp:revision>2</cp:revision>
  <dc:subject/>
  <dc:title>MONT P</dc:title>
</cp:coreProperties>
</file>