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Bookman Old Style" w:ascii="Bookman Old Style" w:hAnsi="Bookman Old Style"/>
          <w:b/>
          <w:sz w:val="32"/>
        </w:rPr>
        <w:t>Lawrence</w:t>
      </w:r>
      <w:r>
        <w:rPr>
          <w:b/>
          <w:sz w:val="32"/>
        </w:rPr>
        <w:t xml:space="preserve"> </w:t>
      </w:r>
      <w:r>
        <w:rPr>
          <w:rFonts w:cs="Bookman Old Style" w:ascii="Bookman Old Style" w:hAnsi="Bookman Old Style"/>
          <w:b/>
          <w:sz w:val="32"/>
        </w:rPr>
        <w:t>Clayton III</w:t>
      </w:r>
    </w:p>
    <w:p>
      <w:pPr>
        <w:pStyle w:val="Normal"/>
        <w:rPr>
          <w:rFonts w:ascii="Bookman Old Style" w:hAnsi="Bookman Old Style" w:cs="Bookman Old Style"/>
          <w:b/>
          <w:sz w:val="16"/>
        </w:rPr>
      </w:pPr>
      <w:r>
        <w:rPr>
          <w:rFonts w:cs="Bookman Old Style" w:ascii="Bookman Old Style" w:hAnsi="Bookman Old Style"/>
          <w:b/>
          <w:sz w:val="16"/>
        </w:rPr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1735 Tuam Street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Houston, TX  77004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(713) 951-9154</w:t>
      </w:r>
    </w:p>
    <w:p>
      <w:pPr>
        <w:pStyle w:val="Normal"/>
        <w:rPr>
          <w:rFonts w:ascii="Bookman Old Style" w:hAnsi="Bookman Old Style" w:cs="Bookman Old Style"/>
          <w:sz w:val="16"/>
          <w:lang w:val="en-CA"/>
        </w:rPr>
      </w:pPr>
      <w:r>
        <w:rPr>
          <w:rFonts w:cs="Bookman Old Style" w:ascii="Bookman Old Style" w:hAnsi="Bookman Old Style"/>
          <w:sz w:val="16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0</wp:posOffset>
                </wp:positionH>
                <wp:positionV relativeFrom="paragraph">
                  <wp:posOffset>15875</wp:posOffset>
                </wp:positionV>
                <wp:extent cx="6126480" cy="0"/>
                <wp:effectExtent l="0" t="14605" r="0" b="14605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ln w="2844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1.25pt" to="482.35pt,1.25pt" stroked="t" o:allowincell="f" style="position:absolute">
                <v:stroke color="black" weight="284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rFonts w:cs="Bookman Old Style" w:ascii="Bookman Old Style" w:hAnsi="Bookman Old Style"/>
          <w:sz w:val="16"/>
        </w:rPr>
        <w:tab/>
        <w:tab/>
      </w:r>
      <w:r>
        <w:rPr>
          <w:rFonts w:cs="Bookman Old Style" w:ascii="Bookman Old Style" w:hAnsi="Bookman Old Style"/>
          <w:b/>
          <w:sz w:val="24"/>
        </w:rPr>
        <w:t>EDUCATION</w:t>
      </w:r>
    </w:p>
    <w:p>
      <w:pPr>
        <w:pStyle w:val="Normal"/>
        <w:rPr/>
      </w:pPr>
      <w:r>
        <w:rPr>
          <w:rFonts w:cs="Bookman Old Style" w:ascii="Bookman Old Style" w:hAnsi="Bookman Old Style"/>
          <w:i/>
          <w:sz w:val="18"/>
        </w:rPr>
        <w:t>1992 - 1996</w:t>
      </w:r>
      <w:r>
        <w:rPr>
          <w:rFonts w:cs="Bookman Old Style" w:ascii="Bookman Old Style" w:hAnsi="Bookman Old Style"/>
          <w:b/>
          <w:sz w:val="18"/>
        </w:rPr>
        <w:tab/>
      </w:r>
      <w:r>
        <w:rPr>
          <w:rFonts w:cs="Bookman Old Style" w:ascii="Bookman Old Style" w:hAnsi="Bookman Old Style"/>
          <w:sz w:val="16"/>
        </w:rPr>
        <w:t>Finance Degree, The University of Texas at Austin</w:t>
      </w:r>
    </w:p>
    <w:p>
      <w:pPr>
        <w:pStyle w:val="Normal"/>
        <w:ind w:start="144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Bachelor of Science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Normal"/>
        <w:ind w:start="144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Heading1"/>
        <w:rPr/>
      </w:pPr>
      <w:r>
        <w:rPr/>
        <w:t>CAREER RELATED EXPERIENCE</w:t>
      </w:r>
    </w:p>
    <w:p>
      <w:pPr>
        <w:pStyle w:val="Normal"/>
        <w:rPr/>
      </w:pPr>
      <w:r>
        <w:rPr>
          <w:rFonts w:cs="Bookman Old Style" w:ascii="Bookman Old Style" w:hAnsi="Bookman Old Style"/>
          <w:i/>
          <w:sz w:val="18"/>
        </w:rPr>
        <w:t>3/00-Current</w:t>
      </w:r>
      <w:r>
        <w:rPr>
          <w:rFonts w:cs="Bookman Old Style" w:ascii="Bookman Old Style" w:hAnsi="Bookman Old Style"/>
          <w:sz w:val="18"/>
        </w:rPr>
        <w:tab/>
      </w:r>
      <w:r>
        <w:rPr>
          <w:rFonts w:cs="Bookman Old Style" w:ascii="Bookman Old Style" w:hAnsi="Bookman Old Style"/>
          <w:b/>
          <w:i/>
          <w:u w:val="single"/>
        </w:rPr>
        <w:t>Enron,</w:t>
      </w:r>
      <w:r>
        <w:rPr>
          <w:rFonts w:cs="Bookman Old Style" w:ascii="Bookman Old Style" w:hAnsi="Bookman Old Style"/>
          <w:sz w:val="16"/>
        </w:rPr>
        <w:t xml:space="preserve"> Senior Specialist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Shift leader for the hourly power trading desk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Responsible for managing units in the TVA, CIN and CE control areas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Evaluate and maximize profit to risk ratio of all power generation sales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Propose ideas for developing new, liquid hourly trading markets and tools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Offer insight into trading standards necessary in order for new markets to mature, i.e. CINergy Financial Index and PJM Financial Index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 xml:space="preserve">Perform research to justify and support daily and weekly positions, and transmission purchases, 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Normal"/>
        <w:rPr/>
      </w:pPr>
      <w:r>
        <w:rPr>
          <w:rFonts w:cs="Bookman Old Style" w:ascii="Bookman Old Style" w:hAnsi="Bookman Old Style"/>
          <w:i/>
          <w:sz w:val="18"/>
        </w:rPr>
        <w:t>8/99 - 3/00</w:t>
      </w:r>
      <w:r>
        <w:rPr>
          <w:rFonts w:cs="Bookman Old Style" w:ascii="Bookman Old Style" w:hAnsi="Bookman Old Style"/>
          <w:sz w:val="18"/>
        </w:rPr>
        <w:tab/>
      </w:r>
      <w:r>
        <w:rPr>
          <w:rFonts w:cs="Bookman Old Style" w:ascii="Bookman Old Style" w:hAnsi="Bookman Old Style"/>
          <w:b/>
          <w:i/>
          <w:u w:val="single"/>
        </w:rPr>
        <w:t>The Energy Authority,</w:t>
      </w:r>
      <w:r>
        <w:rPr>
          <w:rFonts w:cs="Bookman Old Style" w:ascii="Bookman Old Style" w:hAnsi="Bookman Old Style"/>
          <w:sz w:val="16"/>
        </w:rPr>
        <w:t xml:space="preserve"> Associate Power Trader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Purchased and sell power in the spot market for the following utilities: Nebraska Public Power District (NPPD), City of Springfield (SPRM), Kansas City Board of Public Utilities (BPU), Municipal Energy Authority of Georgia (MEAG) and Santee Cooper (SC)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Maintained economically efficient power plants based on market prices, control area load and hourly schedule interchanges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Worked with term traders on long term transmission purchases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Consulted with next day traders the most cost effective courses of action, either purchasing expected power needs in next day market or following day in the spot market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Integral part of hourly trading group that posted profits $70 million over yearly budget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Normal"/>
        <w:rPr/>
      </w:pPr>
      <w:r>
        <w:rPr>
          <w:rFonts w:cs="Bookman Old Style" w:ascii="Bookman Old Style" w:hAnsi="Bookman Old Style"/>
          <w:i/>
          <w:sz w:val="18"/>
        </w:rPr>
        <w:t>4/99 – 8/99</w:t>
      </w:r>
      <w:r>
        <w:rPr>
          <w:rFonts w:cs="ZapfChancery" w:ascii="ZapfChancery" w:hAnsi="ZapfChancery"/>
          <w:sz w:val="18"/>
        </w:rPr>
        <w:tab/>
      </w:r>
      <w:r>
        <w:rPr>
          <w:rFonts w:cs="Bookman Old Style" w:ascii="Bookman Old Style" w:hAnsi="Bookman Old Style"/>
          <w:b/>
          <w:i/>
          <w:u w:val="single"/>
        </w:rPr>
        <w:t>Columbia Power</w:t>
      </w:r>
      <w:r>
        <w:rPr>
          <w:rFonts w:cs="Bookman Old Style" w:ascii="Bookman Old Style" w:hAnsi="Bookman Old Style"/>
          <w:b/>
          <w:i/>
          <w:sz w:val="18"/>
          <w:u w:val="single"/>
        </w:rPr>
        <w:t>,</w:t>
      </w:r>
      <w:r>
        <w:rPr>
          <w:rFonts w:cs="Bookman Old Style" w:ascii="Bookman Old Style" w:hAnsi="Bookman Old Style"/>
          <w:sz w:val="16"/>
        </w:rPr>
        <w:t xml:space="preserve"> Senior Hourly Trader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Traded hourly market of the following NERC regions: ECAR, PJM, MAIN and SERC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Managed all curtailed and prescheduled positions assumed by the hourly desk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Detailed the risk to reward probabilities of pre-schedules assumed by hourly group</w:t>
        <w:tab/>
        <w:tab/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 xml:space="preserve">Trained hourly traders on rules and regulations of all transmission providers </w:t>
      </w:r>
    </w:p>
    <w:p>
      <w:pPr>
        <w:pStyle w:val="Normal"/>
        <w:ind w:start="1440" w:end="0"/>
        <w:rPr>
          <w:rFonts w:ascii="Bookman Old Style" w:hAnsi="Bookman Old Style" w:cs="Bookman Old Style"/>
          <w:i/>
          <w:i/>
          <w:sz w:val="16"/>
        </w:rPr>
      </w:pPr>
      <w:r>
        <w:rPr>
          <w:rFonts w:cs="Bookman Old Style" w:ascii="Bookman Old Style" w:hAnsi="Bookman Old Style"/>
          <w:i/>
          <w:sz w:val="16"/>
        </w:rPr>
        <w:t>** Exited Columbia power due to the closing of the Power Trading group</w:t>
      </w:r>
    </w:p>
    <w:p>
      <w:pPr>
        <w:pStyle w:val="Normal"/>
        <w:rPr>
          <w:rFonts w:ascii="Bookman Old Style" w:hAnsi="Bookman Old Style" w:cs="Bookman Old Style"/>
          <w:i/>
          <w:i/>
          <w:sz w:val="16"/>
        </w:rPr>
      </w:pPr>
      <w:r>
        <w:rPr>
          <w:rFonts w:cs="Bookman Old Style" w:ascii="Bookman Old Style" w:hAnsi="Bookman Old Style"/>
          <w:i/>
          <w:sz w:val="16"/>
        </w:rPr>
      </w:r>
    </w:p>
    <w:p>
      <w:pPr>
        <w:pStyle w:val="Normal"/>
        <w:rPr>
          <w:rFonts w:ascii="Bookman Old Style" w:hAnsi="Bookman Old Style" w:cs="Bookman Old Style"/>
          <w:b/>
          <w:i/>
          <w:i/>
          <w:sz w:val="18"/>
          <w:u w:val="single"/>
        </w:rPr>
      </w:pPr>
      <w:r>
        <w:rPr>
          <w:rFonts w:cs="Bookman Old Style" w:ascii="Bookman Old Style" w:hAnsi="Bookman Old Style"/>
          <w:i/>
          <w:sz w:val="18"/>
        </w:rPr>
        <w:t>12/97-4/99</w:t>
        <w:tab/>
      </w:r>
      <w:r>
        <w:rPr>
          <w:rFonts w:cs="Bookman Old Style" w:ascii="Bookman Old Style" w:hAnsi="Bookman Old Style"/>
          <w:b/>
          <w:i/>
          <w:u w:val="single"/>
        </w:rPr>
        <w:t>Aquila Energy</w:t>
      </w:r>
    </w:p>
    <w:p>
      <w:pPr>
        <w:pStyle w:val="Normal"/>
        <w:rPr/>
      </w:pPr>
      <w:r>
        <w:rPr>
          <w:rFonts w:cs="Bookman Old Style" w:ascii="Bookman Old Style" w:hAnsi="Bookman Old Style"/>
          <w:sz w:val="18"/>
        </w:rPr>
        <w:tab/>
        <w:tab/>
      </w:r>
      <w:r>
        <w:rPr>
          <w:rFonts w:cs="Bookman Old Style" w:ascii="Bookman Old Style" w:hAnsi="Bookman Old Style"/>
          <w:b/>
          <w:sz w:val="18"/>
        </w:rPr>
        <w:t>Natural Gas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Gas scheduler for the following pipelines: Transco Zone 6 (NY and Non-NY) and Zone 5, Texas Gas, Henry Hub and Florida Gas Transmission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Studied and outlined the tariffs of Local Distributing Companies (LDC’s)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Determined economic benefits, and liabilities, of serving customers behind Washington Gas and Light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Evaluated daily the profitability of either utilizing, or unwinding, pre-purchased pipeline capacity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 xml:space="preserve">Responsible for posting Gas Dailies </w:t>
      </w:r>
    </w:p>
    <w:p>
      <w:pPr>
        <w:pStyle w:val="Normal"/>
        <w:ind w:start="144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Normal"/>
        <w:ind w:firstLine="720" w:start="720" w:end="0"/>
        <w:rPr>
          <w:rFonts w:ascii="Bookman Old Style" w:hAnsi="Bookman Old Style" w:cs="Bookman Old Style"/>
          <w:b/>
          <w:sz w:val="18"/>
        </w:rPr>
      </w:pPr>
      <w:r>
        <w:rPr>
          <w:rFonts w:cs="Bookman Old Style" w:ascii="Bookman Old Style" w:hAnsi="Bookman Old Style"/>
          <w:b/>
          <w:sz w:val="18"/>
        </w:rPr>
        <w:t>Power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Scheduled the following hubs and regions: TVA, Entergy, CINergy, PJM, MAPP, MAIN and Ercot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Member of hourly trading group that produced profits eight (8) times the yearly goal in two (2) quarters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Assumed long and short pre-schedule positions that were to be filled on a hourly, spot market, basis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Developed in depth knowledge of all transmission providers on the Eastern Interconnect</w:t>
      </w:r>
    </w:p>
    <w:p>
      <w:pPr>
        <w:pStyle w:val="Normal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Normal"/>
        <w:rPr/>
      </w:pPr>
      <w:r>
        <w:rPr>
          <w:rFonts w:cs="Bookman Old Style" w:ascii="Bookman Old Style" w:hAnsi="Bookman Old Style"/>
          <w:i/>
          <w:sz w:val="16"/>
        </w:rPr>
        <w:t>6</w:t>
      </w:r>
      <w:r>
        <w:rPr>
          <w:rFonts w:cs="Bookman Old Style" w:ascii="Bookman Old Style" w:hAnsi="Bookman Old Style"/>
          <w:i/>
          <w:sz w:val="18"/>
        </w:rPr>
        <w:t>/96-8/97</w:t>
        <w:tab/>
      </w:r>
      <w:r>
        <w:rPr>
          <w:rFonts w:cs="Bookman Old Style" w:ascii="Bookman Old Style" w:hAnsi="Bookman Old Style"/>
          <w:b/>
          <w:i/>
          <w:u w:val="single"/>
        </w:rPr>
        <w:t>AccuTrade</w:t>
      </w:r>
      <w:r>
        <w:rPr>
          <w:rFonts w:cs="Bookman Old Style" w:ascii="Bookman Old Style" w:hAnsi="Bookman Old Style"/>
        </w:rPr>
        <w:t>,</w:t>
      </w:r>
      <w:r>
        <w:rPr>
          <w:rFonts w:cs="Bookman Old Style" w:ascii="Bookman Old Style" w:hAnsi="Bookman Old Style"/>
          <w:sz w:val="18"/>
        </w:rPr>
        <w:t xml:space="preserve"> Broker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Placed option, stock and mutual fund trades for customers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Informed customers of the rules and regulations of trading set by the NASD and SEC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>Developed excellent understanding of options principles, hedging and trading strategies</w:t>
      </w:r>
    </w:p>
    <w:p>
      <w:pPr>
        <w:pStyle w:val="Heading3"/>
        <w:rPr>
          <w:rFonts w:ascii="Bookman Old Style" w:hAnsi="Bookman Old Style" w:cs="Bookman Old Style"/>
          <w:sz w:val="20"/>
        </w:rPr>
      </w:pPr>
      <w:r>
        <w:rPr>
          <w:rFonts w:cs="Bookman Old Style"/>
          <w:sz w:val="20"/>
        </w:rPr>
      </w:r>
    </w:p>
    <w:p>
      <w:pPr>
        <w:pStyle w:val="Heading3"/>
        <w:rPr>
          <w:sz w:val="20"/>
        </w:rPr>
      </w:pPr>
      <w:r>
        <w:rPr>
          <w:sz w:val="20"/>
        </w:rPr>
      </w:r>
    </w:p>
    <w:p>
      <w:pPr>
        <w:pStyle w:val="Heading3"/>
        <w:rPr>
          <w:sz w:val="20"/>
        </w:rPr>
      </w:pPr>
      <w:r>
        <w:rPr>
          <w:sz w:val="20"/>
        </w:rPr>
        <w:t>INTERNSHIPS</w:t>
      </w:r>
    </w:p>
    <w:p>
      <w:pPr>
        <w:pStyle w:val="Normal"/>
        <w:ind w:start="1440" w:end="0"/>
        <w:rPr/>
      </w:pPr>
      <w:r>
        <w:rPr>
          <w:rFonts w:cs="Bookman Old Style" w:ascii="Bookman Old Style" w:hAnsi="Bookman Old Style"/>
          <w:b/>
          <w:i/>
          <w:sz w:val="18"/>
          <w:u w:val="single"/>
        </w:rPr>
        <w:t>Merrill Lynch,</w:t>
      </w:r>
      <w:r>
        <w:rPr>
          <w:rFonts w:cs="Bookman Old Style" w:ascii="Bookman Old Style" w:hAnsi="Bookman Old Style"/>
          <w:sz w:val="16"/>
        </w:rPr>
        <w:t xml:space="preserve"> Research Assistant</w:t>
      </w:r>
    </w:p>
    <w:p>
      <w:pPr>
        <w:pStyle w:val="Normal"/>
        <w:ind w:start="1440" w:end="0"/>
        <w:rPr/>
      </w:pPr>
      <w:r>
        <w:rPr>
          <w:rFonts w:cs="Bookman Old Style" w:ascii="Bookman Old Style" w:hAnsi="Bookman Old Style"/>
          <w:b/>
          <w:i/>
          <w:sz w:val="18"/>
          <w:u w:val="single"/>
        </w:rPr>
        <w:t>Sunrise Energy,</w:t>
      </w:r>
      <w:r>
        <w:rPr>
          <w:rFonts w:cs="Bookman Old Style" w:ascii="Bookman Old Style" w:hAnsi="Bookman Old Style"/>
          <w:sz w:val="16"/>
        </w:rPr>
        <w:t xml:space="preserve"> Accounting Clerk</w:t>
      </w:r>
    </w:p>
    <w:p>
      <w:pPr>
        <w:pStyle w:val="Normal"/>
        <w:ind w:start="1440" w:end="0"/>
        <w:rPr/>
      </w:pPr>
      <w:r>
        <w:rPr>
          <w:rFonts w:cs="Bookman Old Style" w:ascii="Bookman Old Style" w:hAnsi="Bookman Old Style"/>
          <w:b/>
          <w:i/>
          <w:sz w:val="18"/>
          <w:u w:val="single"/>
        </w:rPr>
        <w:t>Federal Reserve Bank of Dallas</w:t>
      </w:r>
      <w:r>
        <w:rPr>
          <w:rFonts w:cs="Bookman Old Style" w:ascii="Bookman Old Style" w:hAnsi="Bookman Old Style"/>
          <w:sz w:val="16"/>
        </w:rPr>
        <w:t>, Intern</w:t>
      </w:r>
    </w:p>
    <w:p>
      <w:pPr>
        <w:pStyle w:val="Normal"/>
        <w:ind w:start="144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</w:r>
    </w:p>
    <w:p>
      <w:pPr>
        <w:pStyle w:val="Heading3"/>
        <w:rPr>
          <w:sz w:val="16"/>
        </w:rPr>
      </w:pPr>
      <w:r>
        <w:rPr>
          <w:sz w:val="20"/>
        </w:rPr>
        <w:t>LICENSES &amp; CERTIFICATES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Series 3 – Commodity Trading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 xml:space="preserve">Series 7 – NASD Brokerage License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8"/>
        </w:rPr>
        <w:t>Series 63 – State Registration License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6"/>
        </w:rPr>
      </w:pPr>
      <w:r>
        <w:rPr>
          <w:rFonts w:cs="Bookman Old Style" w:ascii="Bookman Old Style" w:hAnsi="Bookman Old Style"/>
          <w:sz w:val="16"/>
        </w:rPr>
        <w:t xml:space="preserve">Basics of the Natural Gas Industry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800" w:leader="none"/>
        </w:tabs>
        <w:ind w:hanging="360" w:start="1800" w:end="0"/>
        <w:rPr>
          <w:rFonts w:ascii="Bookman Old Style" w:hAnsi="Bookman Old Style" w:cs="Bookman Old Style"/>
          <w:sz w:val="18"/>
        </w:rPr>
      </w:pPr>
      <w:r>
        <w:rPr>
          <w:rFonts w:cs="Bookman Old Style" w:ascii="Bookman Old Style" w:hAnsi="Bookman Old Style"/>
          <w:sz w:val="16"/>
        </w:rPr>
        <w:t xml:space="preserve">Gas Rates &amp; Nominations Policies  </w:t>
      </w:r>
    </w:p>
    <w:sectPr>
      <w:type w:val="nextPage"/>
      <w:pgSz w:w="12240" w:h="15840"/>
      <w:pgMar w:left="1152" w:right="1152" w:gutter="0" w:header="0" w:top="432" w:footer="0" w:bottom="43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Bookman Old Style">
    <w:charset w:val="00" w:characterSet="windows-1252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ZapfChancery">
    <w:charset w:val="00" w:characterSet="windows-1252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firstLine="720" w:start="720" w:end="0"/>
      <w:outlineLvl w:val="0"/>
    </w:pPr>
    <w:rPr>
      <w:rFonts w:ascii="Bookman Old Style" w:hAnsi="Bookman Old Style" w:cs="Bookman Old Style"/>
      <w:b/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hanging="0" w:start="1440" w:end="0"/>
      <w:outlineLvl w:val="1"/>
    </w:pPr>
    <w:rPr>
      <w:rFonts w:ascii="Bookman Old Style" w:hAnsi="Bookman Old Style" w:cs="Bookman Old Style"/>
      <w:b/>
      <w:sz w:val="1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ind w:hanging="0" w:start="1440" w:end="0"/>
      <w:outlineLvl w:val="2"/>
    </w:pPr>
    <w:rPr>
      <w:rFonts w:ascii="Bookman Old Style" w:hAnsi="Bookman Old Style" w:cs="Bookman Old Style"/>
      <w:b/>
      <w:sz w:val="1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2000-11-29T01:13:00Z</dcterms:created>
  <dc:creator>lclayto2</dc:creator>
  <dc:description/>
  <dc:language>en-CA</dc:language>
  <cp:lastModifiedBy>lclayto2</cp:lastModifiedBy>
  <cp:lastPrinted>2000-11-08T03:47:00Z</cp:lastPrinted>
  <dcterms:modified xsi:type="dcterms:W3CDTF">2000-11-29T01:13:00Z</dcterms:modified>
  <cp:revision>2</cp:revision>
  <dc:subject/>
  <dc:title>Lawrence Clayton III</dc:title>
</cp:coreProperties>
</file>