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Georgia" w:hAnsi="Georgia" w:cs="Georgia"/>
        </w:rPr>
      </w:pPr>
      <w:r>
        <w:rPr>
          <w:rFonts w:cs="Georgia" w:ascii="Georgia" w:hAnsi="Georgia"/>
        </w:rPr>
        <w:t>Summary of HB 2247</w:t>
      </w:r>
    </w:p>
    <w:p>
      <w:pPr>
        <w:pStyle w:val="Subtitle"/>
        <w:rPr/>
      </w:pPr>
      <w:r>
        <w:rPr/>
        <w:t>EFSC Reform Legislation</w:t>
      </w:r>
    </w:p>
    <w:p>
      <w:pPr>
        <w:pStyle w:val="Normal"/>
        <w:rPr>
          <w:rFonts w:ascii="Georgia" w:hAnsi="Georgia" w:cs="Georgia"/>
        </w:rPr>
      </w:pPr>
      <w:r>
        <w:rPr>
          <w:rFonts w:cs="Georgia" w:ascii="Georgia" w:hAnsi="Georgia"/>
        </w:rPr>
      </w:r>
    </w:p>
    <w:p>
      <w:pPr>
        <w:pStyle w:val="Normal"/>
        <w:rPr>
          <w:rFonts w:ascii="Georgia" w:hAnsi="Georgia" w:cs="Georgia"/>
        </w:rPr>
      </w:pPr>
      <w:r>
        <w:rPr>
          <w:rFonts w:cs="Georgia" w:ascii="Georgia" w:hAnsi="Georgia"/>
        </w:rPr>
      </w:r>
    </w:p>
    <w:tbl>
      <w:tblPr>
        <w:tblW w:w="8838" w:type="dxa"/>
        <w:jc w:val="start"/>
        <w:tblInd w:w="0" w:type="dxa"/>
        <w:tblLayout w:type="fixed"/>
        <w:tblCellMar>
          <w:top w:w="0" w:type="dxa"/>
          <w:start w:w="108" w:type="dxa"/>
          <w:bottom w:w="0" w:type="dxa"/>
          <w:end w:w="108" w:type="dxa"/>
        </w:tblCellMar>
      </w:tblPr>
      <w:tblGrid>
        <w:gridCol w:w="1548"/>
        <w:gridCol w:w="7290"/>
      </w:tblGrid>
      <w:tr>
        <w:trPr>
          <w:tblHeader w:val="true"/>
        </w:trPr>
        <w:tc>
          <w:tcPr>
            <w:tcW w:w="1548" w:type="dxa"/>
            <w:tcBorders>
              <w:top w:val="single" w:sz="4" w:space="0" w:color="000000"/>
              <w:start w:val="single" w:sz="4" w:space="0" w:color="000000"/>
              <w:bottom w:val="single" w:sz="4" w:space="0" w:color="000000"/>
              <w:end w:val="single" w:sz="4" w:space="0" w:color="000000"/>
            </w:tcBorders>
            <w:shd w:fill="A5A5A5" w:val="clear"/>
          </w:tcPr>
          <w:p>
            <w:pPr>
              <w:pStyle w:val="Normal"/>
              <w:jc w:val="center"/>
              <w:rPr>
                <w:rFonts w:ascii="Georgia" w:hAnsi="Georgia" w:cs="Georgia"/>
                <w:sz w:val="24"/>
              </w:rPr>
            </w:pPr>
            <w:r>
              <w:rPr>
                <w:rFonts w:cs="Georgia" w:ascii="Georgia" w:hAnsi="Georgia"/>
                <w:sz w:val="24"/>
              </w:rPr>
              <w:t>Section</w:t>
            </w:r>
          </w:p>
        </w:tc>
        <w:tc>
          <w:tcPr>
            <w:tcW w:w="7290" w:type="dxa"/>
            <w:tcBorders>
              <w:top w:val="single" w:sz="4" w:space="0" w:color="000000"/>
              <w:start w:val="single" w:sz="4" w:space="0" w:color="000000"/>
              <w:bottom w:val="single" w:sz="4" w:space="0" w:color="000000"/>
              <w:end w:val="single" w:sz="4" w:space="0" w:color="000000"/>
            </w:tcBorders>
            <w:shd w:fill="A5A5A5" w:val="clear"/>
          </w:tcPr>
          <w:p>
            <w:pPr>
              <w:pStyle w:val="Normal"/>
              <w:jc w:val="center"/>
              <w:rPr>
                <w:rFonts w:ascii="Georgia" w:hAnsi="Georgia" w:cs="Georgia"/>
                <w:sz w:val="24"/>
              </w:rPr>
            </w:pPr>
            <w:r>
              <w:rPr>
                <w:rFonts w:cs="Georgia" w:ascii="Georgia" w:hAnsi="Georgia"/>
                <w:sz w:val="24"/>
              </w:rPr>
              <w:t>Summary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w:t>
            </w:r>
          </w:p>
        </w:tc>
        <w:tc>
          <w:tcPr>
            <w:tcW w:w="7290"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Georgia" w:hAnsi="Georgia" w:cs="Georgia"/>
                <w:b/>
              </w:rPr>
            </w:pPr>
            <w:r>
              <w:rPr>
                <w:rFonts w:cs="Georgia" w:ascii="Georgia" w:hAnsi="Georgia"/>
              </w:rPr>
              <w:t>Bill adds a goal to energy facility siting legislation “to avoid costly duplication in the siting process and ensure that decisions are made timely and without necessary delay.”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Amends existing siting law to allow developers of alternative resources to opt into the EFSC process.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3</w:t>
            </w:r>
          </w:p>
        </w:tc>
        <w:tc>
          <w:tcPr>
            <w:tcW w:w="7290" w:type="dxa"/>
            <w:tcBorders>
              <w:top w:val="single" w:sz="4" w:space="0" w:color="000000"/>
              <w:start w:val="single" w:sz="4" w:space="0" w:color="000000"/>
              <w:bottom w:val="single" w:sz="4" w:space="0" w:color="000000"/>
              <w:end w:val="single" w:sz="4" w:space="0" w:color="000000"/>
            </w:tcBorders>
          </w:tcPr>
          <w:p>
            <w:pPr>
              <w:pStyle w:val="Normal"/>
              <w:rPr/>
            </w:pPr>
            <w:r>
              <w:rPr>
                <w:rFonts w:cs="Georgia" w:ascii="Georgia" w:hAnsi="Georgia"/>
                <w:sz w:val="24"/>
              </w:rPr>
              <w:t xml:space="preserve">Amends existing law to </w:t>
            </w:r>
            <w:r>
              <w:rPr>
                <w:rFonts w:cs="Georgia" w:ascii="Georgia" w:hAnsi="Georgia"/>
                <w:b/>
                <w:sz w:val="24"/>
              </w:rPr>
              <w:t>increase the EFSC threshold to 350 MWs for stationary thermal power plants and 100 MW for “floating thermal power plants.”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4</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Amends existing siting law to</w:t>
            </w:r>
          </w:p>
          <w:p>
            <w:pPr>
              <w:pStyle w:val="Normal"/>
              <w:numPr>
                <w:ilvl w:val="0"/>
                <w:numId w:val="2"/>
              </w:numPr>
              <w:rPr>
                <w:rFonts w:ascii="Georgia" w:hAnsi="Georgia" w:cs="Georgia"/>
                <w:sz w:val="24"/>
              </w:rPr>
            </w:pPr>
            <w:r>
              <w:rPr>
                <w:rFonts w:cs="Georgia" w:ascii="Georgia" w:hAnsi="Georgia"/>
                <w:sz w:val="24"/>
              </w:rPr>
              <w:t>Make EFSC chair a state employee;</w:t>
            </w:r>
          </w:p>
          <w:p>
            <w:pPr>
              <w:pStyle w:val="Normal"/>
              <w:numPr>
                <w:ilvl w:val="0"/>
                <w:numId w:val="2"/>
              </w:numPr>
              <w:rPr>
                <w:rFonts w:ascii="Georgia" w:hAnsi="Georgia" w:cs="Georgia"/>
                <w:sz w:val="24"/>
              </w:rPr>
            </w:pPr>
            <w:r>
              <w:rPr>
                <w:rFonts w:cs="Georgia" w:ascii="Georgia" w:hAnsi="Georgia"/>
                <w:sz w:val="24"/>
              </w:rPr>
              <w:t>Reduce by 5 the number of state departments that make up the Energy Facility Siting Council.</w:t>
            </w:r>
          </w:p>
          <w:p>
            <w:pPr>
              <w:pStyle w:val="Normal"/>
              <w:numPr>
                <w:ilvl w:val="0"/>
                <w:numId w:val="2"/>
              </w:numPr>
              <w:rPr>
                <w:rFonts w:ascii="Georgia" w:hAnsi="Georgia" w:cs="Georgia"/>
                <w:sz w:val="24"/>
              </w:rPr>
            </w:pPr>
            <w:r>
              <w:rPr>
                <w:rFonts w:cs="Georgia" w:ascii="Georgia" w:hAnsi="Georgia"/>
                <w:sz w:val="24"/>
              </w:rPr>
              <w:t>Allow the 5 state departments to choose to participate in EFSC as members of the Council.</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5</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Adds a new section to allow EFSC staff to “assist applicants in identifying issues presented by the application,” “recommend resolutions to issues in dispute,” and “make recommendations” on conditions that would allow site approval.</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6</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Makes voluntary the existing requirement that EFSC retain authority to determine compliance with monitoring requirements in a certificate.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7</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Amends existing law by adding a requirement for an “informational public hearing” “as soon as practicable” but not less than 60-days after filing.    Existing law already requires public hearing to review whether the proposed project meets local land-use or zoning requirements.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8</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 xml:space="preserve">Adds a new section requiring the Governor to evaluate the operations of EFSC and assess means to increase efficiency.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9</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Adds new section that provides Direct Service Industrial Customers of the Bonneville Power Administration with a credit against the Washington Public Utility Tax applicable to purchases of natural gas from an LDC if:</w:t>
            </w:r>
          </w:p>
          <w:p>
            <w:pPr>
              <w:pStyle w:val="Normal"/>
              <w:numPr>
                <w:ilvl w:val="0"/>
                <w:numId w:val="5"/>
              </w:numPr>
              <w:rPr>
                <w:rFonts w:ascii="Georgia" w:hAnsi="Georgia" w:cs="Georgia"/>
                <w:sz w:val="24"/>
              </w:rPr>
            </w:pPr>
            <w:r>
              <w:rPr>
                <w:rFonts w:cs="Georgia" w:ascii="Georgia" w:hAnsi="Georgia"/>
                <w:sz w:val="24"/>
              </w:rPr>
              <w:t>The gas is used to produce electricity at a new CT-facility owned by the DSI;</w:t>
            </w:r>
          </w:p>
          <w:p>
            <w:pPr>
              <w:pStyle w:val="Normal"/>
              <w:numPr>
                <w:ilvl w:val="0"/>
                <w:numId w:val="5"/>
              </w:numPr>
              <w:rPr>
                <w:rFonts w:ascii="Georgia" w:hAnsi="Georgia" w:cs="Georgia"/>
                <w:sz w:val="24"/>
              </w:rPr>
            </w:pPr>
            <w:r>
              <w:rPr>
                <w:rFonts w:cs="Georgia" w:ascii="Georgia" w:hAnsi="Georgia"/>
                <w:sz w:val="24"/>
              </w:rPr>
              <w:t xml:space="preserve">Certain levels of employment are maintained.  </w:t>
            </w:r>
          </w:p>
          <w:p>
            <w:pPr>
              <w:pStyle w:val="Normal"/>
              <w:rPr>
                <w:rFonts w:ascii="Georgia" w:hAnsi="Georgia" w:cs="Georgia"/>
                <w:sz w:val="24"/>
              </w:rPr>
            </w:pPr>
            <w:r>
              <w:rPr>
                <w:rFonts w:cs="Georgia" w:ascii="Georgia" w:hAnsi="Georgia"/>
                <w:sz w:val="24"/>
              </w:rPr>
              <w:t>This section includes a schedule that shows how reduced employment affects the tax credit.  The bill provides for a return of the credit starting in the sixth year following the year in which the tax-exempt purchases are made.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10</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 xml:space="preserve">Adds a new section that provides DSIs with a 5-year tax deferral for utility use taxes associated with natural gas consumed in the production of electricity at a facility owned by the DSI.  The section creates a tax exemption for amounts deferred if certain employment levels are maintained.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11</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Adds a new section that provides DSIs with a tax credit against the tax due under this chapter on electricity sales made to a DSI from a new CT facility if:</w:t>
            </w:r>
          </w:p>
          <w:p>
            <w:pPr>
              <w:pStyle w:val="Normal"/>
              <w:numPr>
                <w:ilvl w:val="0"/>
                <w:numId w:val="4"/>
              </w:numPr>
              <w:rPr>
                <w:rFonts w:ascii="Georgia" w:hAnsi="Georgia" w:cs="Georgia"/>
                <w:sz w:val="24"/>
              </w:rPr>
            </w:pPr>
            <w:r>
              <w:rPr>
                <w:rFonts w:cs="Georgia" w:ascii="Georgia" w:hAnsi="Georgia"/>
                <w:sz w:val="24"/>
              </w:rPr>
              <w:t>The contract for the electricity sale has a 10-year term;</w:t>
            </w:r>
          </w:p>
          <w:p>
            <w:pPr>
              <w:pStyle w:val="Normal"/>
              <w:numPr>
                <w:ilvl w:val="0"/>
                <w:numId w:val="4"/>
              </w:numPr>
              <w:rPr>
                <w:rFonts w:ascii="Georgia" w:hAnsi="Georgia" w:cs="Georgia"/>
                <w:sz w:val="24"/>
              </w:rPr>
            </w:pPr>
            <w:r>
              <w:rPr>
                <w:rFonts w:cs="Georgia" w:ascii="Georgia" w:hAnsi="Georgia"/>
                <w:sz w:val="24"/>
              </w:rPr>
              <w:t xml:space="preserve">The electricity price is reduced by the amount of the tax credit;  and </w:t>
            </w:r>
          </w:p>
          <w:p>
            <w:pPr>
              <w:pStyle w:val="Normal"/>
              <w:numPr>
                <w:ilvl w:val="0"/>
                <w:numId w:val="4"/>
              </w:numPr>
              <w:rPr>
                <w:rFonts w:ascii="Georgia" w:hAnsi="Georgia" w:cs="Georgia"/>
                <w:sz w:val="24"/>
              </w:rPr>
            </w:pPr>
            <w:r>
              <w:rPr>
                <w:rFonts w:cs="Georgia" w:ascii="Georgia" w:hAnsi="Georgia"/>
                <w:sz w:val="24"/>
              </w:rPr>
              <w:t>The DSI has to pay damages equal to the reduction if the credit is disallowed.</w:t>
            </w:r>
          </w:p>
          <w:p>
            <w:pPr>
              <w:pStyle w:val="Normal"/>
              <w:rPr>
                <w:rFonts w:ascii="Georgia" w:hAnsi="Georgia" w:cs="Georgia"/>
                <w:sz w:val="24"/>
              </w:rPr>
            </w:pPr>
            <w:r>
              <w:rPr>
                <w:rFonts w:cs="Georgia" w:ascii="Georgia" w:hAnsi="Georgia"/>
                <w:sz w:val="24"/>
              </w:rPr>
              <w:t>The credit can be disallowed if employment falls below historic levels.  The section includes a schedule that establishes the amount of the disallowance.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12</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Adds a new section that provides:</w:t>
            </w:r>
          </w:p>
          <w:p>
            <w:pPr>
              <w:pStyle w:val="Normal"/>
              <w:numPr>
                <w:ilvl w:val="0"/>
                <w:numId w:val="3"/>
              </w:numPr>
              <w:rPr>
                <w:rFonts w:ascii="Georgia" w:hAnsi="Georgia" w:cs="Georgia"/>
                <w:sz w:val="24"/>
              </w:rPr>
            </w:pPr>
            <w:r>
              <w:rPr>
                <w:rFonts w:cs="Georgia" w:ascii="Georgia" w:hAnsi="Georgia"/>
                <w:sz w:val="24"/>
              </w:rPr>
              <w:t>The tax credits and deferrals under the sections 9-11 cannot exceed a total of $2.5 million in any fiscal year (no more than $1.5 million for any individual).</w:t>
            </w:r>
          </w:p>
          <w:p>
            <w:pPr>
              <w:pStyle w:val="Normal"/>
              <w:numPr>
                <w:ilvl w:val="0"/>
                <w:numId w:val="3"/>
              </w:numPr>
              <w:rPr>
                <w:rFonts w:ascii="Georgia" w:hAnsi="Georgia" w:cs="Georgia"/>
                <w:sz w:val="24"/>
              </w:rPr>
            </w:pPr>
            <w:r>
              <w:rPr>
                <w:rFonts w:cs="Georgia" w:ascii="Georgia" w:hAnsi="Georgia"/>
                <w:sz w:val="24"/>
              </w:rPr>
              <w:t>Credits and deferrals are available on a first-come-first-served basis.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13</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 xml:space="preserve">Adds a new section that provides electric utilities and LDCs with a credit in each fiscal year for certain taxes for certain low-income energy assistance programs and billing discounts.  Total statewide credit is limited to $2.5 million.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14</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New section that declares it is state policy for state government to take the lead in energy conservation and efficiency.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15</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Modifies existing legislative findings to state that “energy management systems” will have a beneficial impact on energy supply.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16</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Adds a definition of “energy management systems” to existing law defining the role and responsibilities of state agencies in finding and implementing DSM.  “Energy management systems” are programs, equipment, technology, or other measures including meter reading systems, thermostats, etc., “that allows identification and management of opportunities for improvement” in energy efficiency.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17</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Adds language to existing law defining the role and responsibilities of state agencies in finding and implementing DSM.</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18</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Same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19</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Requires the state department of general administration to maintain a registry of energy service contracts and provide municipalities with assistance in identifying “performance-based contracting services.”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20</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Modifies existing law to define “performance-based contracting”</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21</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Modifies existing law to require state agencies and school districts to perform an energy audit and implement cost-effective conservation measures.   States that “performance based contracting” shall be the preferred method for completing audits and implementing cost-effective conservation.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22</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Adds a section that requires school districts to complete audits within a time certain.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23</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Modifies existing legislative findings to address energy management systems for state leased properties.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24</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Modifies existing law to require audits and implementation of cost-effective conservation to leased properties.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25</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Modifies existing law re:  conservation and audits.   Defines cost-effective energy conservation measure” and “energy savings performance contracting.”</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26</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Modifies existing law re:  conservation and audits.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27</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Modifies existing law re:  conservation and audits.  Authorizes agencies to contract with energy service companies for energy audits and implementation of cost-effective energy conservation measures.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28</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Adds new section providing retail electricity customers with a “voluntary option to purchase qualified alternative energy resources.”    The WUTC (for the IOUs) and the governing board (for the COUs) must approve the rates, terms and conditions for the renewable option.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29</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Exempts small utilities from certain requirements.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30</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Changes title of the legislative committee created by existing law to:  the creation of a “joint committee on energy supply of the legislature.”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31</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Changes existing law to specify a different composition for the joint committee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32</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 xml:space="preserve">Adds a new section that provides a utility with an exemption from sales tax for the installation of up to two air pollution control facilities for utility-owned peaking plants.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33</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Severability clause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rFonts w:ascii="Georgia" w:hAnsi="Georgia" w:cs="Georgia"/>
                <w:sz w:val="24"/>
              </w:rPr>
            </w:pPr>
            <w:r>
              <w:rPr>
                <w:rFonts w:cs="Georgia" w:ascii="Georgia" w:hAnsi="Georgia"/>
                <w:sz w:val="24"/>
              </w:rPr>
              <w:t>34</w:t>
            </w:r>
          </w:p>
        </w:tc>
        <w:tc>
          <w:tcPr>
            <w:tcW w:w="7290" w:type="dxa"/>
            <w:tcBorders>
              <w:top w:val="single" w:sz="4" w:space="0" w:color="000000"/>
              <w:start w:val="single" w:sz="4" w:space="0" w:color="000000"/>
              <w:bottom w:val="single" w:sz="4" w:space="0" w:color="000000"/>
              <w:end w:val="single" w:sz="4" w:space="0" w:color="000000"/>
            </w:tcBorders>
          </w:tcPr>
          <w:p>
            <w:pPr>
              <w:pStyle w:val="Normal"/>
              <w:rPr>
                <w:rFonts w:ascii="Georgia" w:hAnsi="Georgia" w:cs="Georgia"/>
                <w:sz w:val="24"/>
              </w:rPr>
            </w:pPr>
            <w:r>
              <w:rPr>
                <w:rFonts w:cs="Georgia" w:ascii="Georgia" w:hAnsi="Georgia"/>
                <w:sz w:val="24"/>
              </w:rPr>
              <w:t>Urgency clause.</w:t>
            </w:r>
          </w:p>
        </w:tc>
      </w:tr>
    </w:tbl>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Georgi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Georgia" w:hAnsi="Georgia" w:cs="Georgia"/>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2001-04-24T22:38:00Z</dcterms:created>
  <dc:creator>pkaufma</dc:creator>
  <dc:description/>
  <dc:language>en-CA</dc:language>
  <cp:lastModifiedBy>pkaufma</cp:lastModifiedBy>
  <dcterms:modified xsi:type="dcterms:W3CDTF">2001-04-24T22:38:00Z</dcterms:modified>
  <cp:revision>2</cp:revision>
  <dc:subject/>
  <dc:title>Summary of HB 2247</dc:title>
</cp:coreProperties>
</file>