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rPr/>
      </w:pPr>
      <w:r>
        <w:rPr>
          <w:b/>
          <w:bCs/>
          <w:sz w:val="20"/>
        </w:rPr>
        <w:t>ENRON BROADBAND SERVICES, L.P.</w:t>
      </w:r>
      <w:r>
        <w:rPr>
          <w:sz w:val="20"/>
        </w:rPr>
        <w:t xml:space="preserve"> (</w:t>
      </w:r>
      <w:r>
        <w:rPr>
          <w:b/>
          <w:sz w:val="20"/>
        </w:rPr>
        <w:t>"</w:t>
      </w:r>
      <w:r>
        <w:rPr>
          <w:b/>
          <w:sz w:val="20"/>
          <w:u w:val="single"/>
        </w:rPr>
        <w:t>Party A</w:t>
      </w:r>
      <w:r>
        <w:rPr>
          <w:b/>
          <w:sz w:val="20"/>
        </w:rPr>
        <w:t>"</w:t>
      </w:r>
      <w:r>
        <w:rPr>
          <w:sz w:val="20"/>
        </w:rPr>
        <w:t>)</w:t>
        <w:tab/>
        <w:t>and</w:t>
        <w:tab/>
      </w:r>
      <w:r>
        <w:rPr>
          <w:b/>
          <w:bCs/>
          <w:sz w:val="20"/>
        </w:rPr>
        <w:t>DYNEGY EUROPE</w:t>
      </w:r>
      <w:r>
        <w:rPr>
          <w:sz w:val="20"/>
        </w:rPr>
        <w:t xml:space="preserve"> (</w:t>
      </w:r>
      <w:r>
        <w:rPr>
          <w:b/>
          <w:sz w:val="20"/>
        </w:rPr>
        <w:t>"</w:t>
      </w:r>
      <w:r>
        <w:rPr>
          <w:b/>
          <w:sz w:val="20"/>
          <w:u w:val="single"/>
        </w:rPr>
        <w:t>Party B</w:t>
      </w:r>
      <w:r>
        <w:rPr>
          <w:b/>
          <w:sz w:val="20"/>
        </w:rPr>
        <w:t>"</w:t>
      </w:r>
      <w:r>
        <w:rPr>
          <w:sz w:val="20"/>
        </w:rPr>
        <w:t>)</w:t>
      </w:r>
    </w:p>
    <w:p>
      <w:pPr>
        <w:pStyle w:val="Normal"/>
        <w:widowControl w:val="false"/>
        <w:ind w:end="-720"/>
        <w:jc w:val="both"/>
        <w:rPr>
          <w:sz w:val="20"/>
        </w:rPr>
      </w:pPr>
      <w:r>
        <w:rPr>
          <w:sz w:val="20"/>
        </w:rPr>
      </w:r>
    </w:p>
    <w:p>
      <w:pPr>
        <w:pStyle w:val="Normal"/>
        <w:widowControl w:val="false"/>
        <w:jc w:val="both"/>
        <w:rPr>
          <w:sz w:val="20"/>
        </w:rPr>
      </w:pPr>
      <w:r>
        <w:rPr>
          <w:sz w:val="20"/>
        </w:rPr>
        <w:t>Type of Legal Entity:  limited partnership</w:t>
        <w:tab/>
        <w:tab/>
        <w:tab/>
        <w:tab/>
        <w:t xml:space="preserve">Type of Legal Entity:  </w:t>
      </w:r>
      <w:r>
        <w:rPr>
          <w:sz w:val="20"/>
          <w:u w:val="single"/>
        </w:rPr>
        <w:tab/>
        <w:tab/>
        <w:tab/>
        <w:tab/>
      </w:r>
    </w:p>
    <w:p>
      <w:pPr>
        <w:pStyle w:val="Normal"/>
        <w:widowControl w:val="false"/>
        <w:jc w:val="both"/>
        <w:rPr/>
      </w:pPr>
      <w:r>
        <w:rPr>
          <w:sz w:val="20"/>
        </w:rPr>
        <w:t>Place of Organization/Registration:  Delaware</w:t>
        <w:tab/>
        <w:tab/>
        <w:tab/>
        <w:t xml:space="preserve">Place of Organization/Registration:  </w:t>
      </w:r>
      <w:r>
        <w:rPr>
          <w:sz w:val="20"/>
          <w:u w:val="single"/>
        </w:rPr>
        <w:tab/>
        <w:tab/>
      </w:r>
    </w:p>
    <w:p>
      <w:pPr>
        <w:pStyle w:val="Normal"/>
        <w:widowControl w:val="false"/>
        <w:jc w:val="both"/>
        <w:rPr>
          <w:sz w:val="20"/>
        </w:rPr>
      </w:pPr>
      <w:r>
        <w:rPr>
          <w:sz w:val="20"/>
        </w:rPr>
        <w:t>Organization/Registration No.:</w:t>
      </w:r>
      <w:r>
        <w:rPr>
          <w:sz w:val="20"/>
          <w:u w:val="single"/>
        </w:rPr>
        <w:tab/>
        <w:tab/>
        <w:tab/>
      </w:r>
      <w:r>
        <w:rPr>
          <w:sz w:val="20"/>
        </w:rPr>
        <w:tab/>
        <w:tab/>
        <w:t>Organization/Registration No.:</w:t>
      </w:r>
      <w:r>
        <w:rPr>
          <w:sz w:val="20"/>
          <w:u w:val="single"/>
        </w:rPr>
        <w:tab/>
        <w:tab/>
        <w:tab/>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xml:space="preserve">").  </w:t>
      </w:r>
    </w:p>
    <w:p>
      <w:pPr>
        <w:pStyle w:val="BodyText"/>
        <w:jc w:val="both"/>
        <w:rPr>
          <w:sz w:val="19"/>
        </w:rPr>
      </w:pPr>
      <w:r>
        <w:rPr>
          <w:sz w:val="19"/>
        </w:rPr>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Heading2"/>
        <w:spacing w:before="0" w:after="120"/>
        <w:ind w:firstLine="720" w:start="0" w:end="0"/>
        <w:rPr>
          <w:sz w:val="19"/>
        </w:rPr>
      </w:pPr>
      <w:r>
        <w:rPr>
          <w:sz w:val="19"/>
          <w:u w:val="single"/>
        </w:rPr>
        <w:t>Transactions</w:t>
      </w:r>
      <w:r>
        <w:rPr>
          <w:sz w:val="19"/>
        </w:rPr>
        <w:t>.  A Transaction shall be entered into upon agreement of the Parties orally or, if expressly required by either Party with respect to a particular Transaction, in writing, including by means of electronic communication.  Each Party agrees not to contest, or assert any defense to, the validity or enforceability of any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Confirmation</w:t>
      </w:r>
      <w:r>
        <w:rPr>
          <w:sz w:val="19"/>
        </w:rPr>
        <w:t>.  Seller may confirm one or more Transactions by forwarding to Buyer by facsimile or electronic communication within three (3) Business Days after the Trade Date a confirmation substantially in the form of Exhibit A ("</w:t>
      </w:r>
      <w:r>
        <w:rPr>
          <w:sz w:val="19"/>
          <w:u w:val="single"/>
        </w:rPr>
        <w:t>Confirmation</w:t>
      </w:r>
      <w:r>
        <w:rPr>
          <w:sz w:val="19"/>
        </w:rPr>
        <w:t>").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Failure by either Party to send or either Party to return an executed Confirmation or any objection to a Confirmation by either Party shall not invalidate the Transaction(s) agreed to by the Parties.</w:t>
      </w:r>
    </w:p>
    <w:p>
      <w:pPr>
        <w:pStyle w:val="Heading2"/>
        <w:spacing w:before="0" w:after="120"/>
        <w:ind w:firstLine="720" w:start="0" w:end="0"/>
        <w:rPr>
          <w:sz w:val="19"/>
        </w:rPr>
      </w:pPr>
      <w:r>
        <w:rPr>
          <w:sz w:val="19"/>
          <w:u w:val="single"/>
        </w:rPr>
        <w:t>Additional Confirmation Terms</w:t>
      </w:r>
      <w:r>
        <w:rPr>
          <w:sz w:val="19"/>
        </w:rPr>
        <w:t>.  If the Parties have elected on the Schedule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not be deemed to be accepted pursuant to Section 2.3 unless agreed in writing by the Parties, provided that the foregoing shall not invalidate any Transactions agreed to by the Parties.</w:t>
      </w:r>
    </w:p>
    <w:p>
      <w:pPr>
        <w:pStyle w:val="Heading2"/>
        <w:spacing w:before="0" w:after="120"/>
        <w:ind w:firstLine="720" w:start="0" w:end="0"/>
        <w:rPr>
          <w:sz w:val="19"/>
        </w:rPr>
      </w:pPr>
      <w:r>
        <w:rPr>
          <w:sz w:val="19"/>
          <w:u w:val="single"/>
        </w:rPr>
        <w:t>Recording</w:t>
      </w:r>
      <w:r>
        <w:rPr>
          <w:sz w:val="19"/>
        </w:rPr>
        <w:t>.  Unless a Party expressly objects at the beginning of a telephone conversation, each Party  consents to the creation of a tape or electronic recording ("</w:t>
      </w:r>
      <w:r>
        <w:rPr>
          <w:sz w:val="19"/>
          <w:u w:val="single"/>
        </w:rPr>
        <w:t>Recording</w:t>
      </w:r>
      <w:r>
        <w:rPr>
          <w:sz w:val="19"/>
        </w:rPr>
        <w:t>")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w:t>
      </w:r>
    </w:p>
    <w:p>
      <w:pPr>
        <w:pStyle w:val="Heading2"/>
        <w:spacing w:before="0" w:after="120"/>
        <w:ind w:firstLine="720" w:start="0" w:end="0"/>
        <w:rPr>
          <w:sz w:val="19"/>
        </w:rPr>
      </w:pPr>
      <w:r>
        <w:rPr>
          <w:sz w:val="19"/>
          <w:u w:val="single"/>
        </w:rPr>
        <w:t>Inconsistency</w:t>
      </w:r>
      <w:r>
        <w:rPr>
          <w:sz w:val="19"/>
        </w:rPr>
        <w:t>.  In the event of any inconsistency among the terms of an Executed Confirmation, a Recording, a Transaction or this Master Agreement, the terms of the following shall prevail in order listed: (i) an Executed Confirmation; (ii) a Recording; and (iii) the Master Agreement.</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Buyer’s system.  In the event that (a) Seller fails to comply with its obligations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2.8 shall only arise if the Option Buyer exercises the applicable Option in accordance with its terms.  In the event of any breach of Section 2.8(i),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2.7,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obligations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xml:space="preserve">.  (i) Upon the designation of an Early Termination Date and calculation of a Termination Payment in accordance with Section 5.4 (unless such Termination Payment was calculated as a result of a Product Termination Event), the Non-Defaulting Party (“X”) may, at its option and in its discretion, setoff, against any amounts Owed to the Defaulting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5.7, “Owed” shall mean any amounts owed or otherwise accrued and payable (regardless of whether such amounts have been or could be invoiced) as of the Early Termination Date. </w:t>
      </w:r>
    </w:p>
    <w:p>
      <w:pPr>
        <w:pStyle w:val="Heading2"/>
        <w:numPr>
          <w:ilvl w:val="0"/>
          <w:numId w:val="0"/>
        </w:numPr>
        <w:ind w:firstLine="709" w:start="0" w:end="0"/>
        <w:rPr>
          <w:sz w:val="19"/>
        </w:rPr>
      </w:pPr>
      <w:r>
        <w:rPr>
          <w:sz w:val="19"/>
        </w:rPr>
        <w:t xml:space="preserve">Amounts subject to the setoff permitted in this Section 5.7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5.7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5.7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5.7, as agent on behalf of its Affiliates, which Affiliates shall receive the benefits of this Section 5.7 and otherwise be bound as if such Affiliates had directly signed this Agreement as it relates to Section 5.7. </w:t>
      </w:r>
    </w:p>
    <w:p>
      <w:pPr>
        <w:pStyle w:val="Heading2"/>
        <w:numPr>
          <w:ilvl w:val="0"/>
          <w:numId w:val="0"/>
        </w:numPr>
        <w:ind w:firstLine="709" w:start="0" w:end="0"/>
        <w:rPr>
          <w:sz w:val="19"/>
        </w:rPr>
      </w:pPr>
      <w:r>
        <w:rPr>
          <w:sz w:val="19"/>
        </w:rPr>
        <w:t>(ii) Notwithstanding any provision to the contrary contained in this Agreement, the Non-Defaulting Party shall not be required to pay to the Defaulting Party any amount under Section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have been fully and finally satisfied.</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constitutes an (a) “eligible contract participant” as such term is defined in the Commodity Exchange Act, as amended 7 U.S.C. §1a(12), and (b) “eligible commercial entity” as such term is defined in the Commodity Exchange Act, as amended 7 U.S.C. §1a(11);</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b/>
          <w:bCs/>
          <w:sz w:val="19"/>
        </w:rPr>
      </w:pPr>
      <w:r>
        <w:rPr>
          <w:b/>
          <w:bCs/>
          <w:sz w:val="19"/>
        </w:rPr>
        <w:t>ENRON BROADBAND SERVICES, L.P.</w:t>
      </w:r>
    </w:p>
    <w:p>
      <w:pPr>
        <w:pStyle w:val="Normal"/>
        <w:widowControl w:val="false"/>
        <w:spacing w:before="0" w:after="19"/>
        <w:jc w:val="both"/>
        <w:rPr>
          <w:b/>
          <w:bCs/>
          <w:sz w:val="19"/>
        </w:rPr>
      </w:pPr>
      <w:r>
        <w:rPr>
          <w:b/>
          <w:bCs/>
          <w:sz w:val="19"/>
        </w:rPr>
      </w:r>
    </w:p>
    <w:p>
      <w:pPr>
        <w:pStyle w:val="Normal"/>
        <w:widowControl w:val="false"/>
        <w:spacing w:before="0" w:after="19"/>
        <w:jc w:val="both"/>
        <w:rPr>
          <w:b/>
          <w:bCs/>
          <w:sz w:val="19"/>
        </w:rPr>
      </w:pPr>
      <w:r>
        <w:rPr>
          <w:b/>
          <w:bCs/>
          <w:sz w:val="19"/>
        </w:rPr>
        <w:t>By:</w:t>
        <w:tab/>
        <w:t>Enron Broadband Services, Inc.,</w:t>
      </w:r>
    </w:p>
    <w:p>
      <w:pPr>
        <w:pStyle w:val="Normal"/>
        <w:widowControl w:val="false"/>
        <w:spacing w:before="0" w:after="19"/>
        <w:jc w:val="both"/>
        <w:rPr>
          <w:b/>
          <w:bCs/>
          <w:sz w:val="19"/>
        </w:rPr>
      </w:pPr>
      <w:r>
        <w:rPr>
          <w:b/>
          <w:bCs/>
          <w:sz w:val="19"/>
        </w:rPr>
        <w:tab/>
        <w:t>its General Partner</w:t>
      </w:r>
    </w:p>
    <w:p>
      <w:pPr>
        <w:pStyle w:val="Normal"/>
        <w:widowControl w:val="false"/>
        <w:jc w:val="both"/>
        <w:rPr>
          <w:b/>
          <w:bCs/>
          <w:i/>
          <w:i/>
          <w:sz w:val="19"/>
        </w:rPr>
      </w:pPr>
      <w:r>
        <w:rPr>
          <w:b/>
          <w:bCs/>
          <w:i/>
          <w:sz w:val="19"/>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jc w:val="both"/>
        <w:rPr/>
      </w:pPr>
      <w:r>
        <w:rPr>
          <w:sz w:val="19"/>
        </w:rPr>
        <w:tab/>
        <w:t xml:space="preserve">By </w:t>
      </w:r>
      <w:r>
        <w:rPr>
          <w:sz w:val="19"/>
          <w:u w:val="single"/>
        </w:rPr>
        <w:tab/>
        <w:tab/>
        <w:tab/>
        <w:tab/>
        <w:tab/>
      </w:r>
    </w:p>
    <w:p>
      <w:pPr>
        <w:pStyle w:val="Normal"/>
        <w:widowControl w:val="false"/>
        <w:jc w:val="both"/>
        <w:rPr>
          <w:sz w:val="19"/>
        </w:rPr>
      </w:pPr>
      <w:r>
        <w:rPr>
          <w:sz w:val="19"/>
        </w:rPr>
        <w:tab/>
        <w:t xml:space="preserve">Name </w:t>
      </w:r>
      <w:r>
        <w:rPr>
          <w:sz w:val="19"/>
          <w:u w:val="single"/>
        </w:rPr>
        <w:tab/>
        <w:tab/>
        <w:tab/>
        <w:tab/>
        <w:tab/>
      </w:r>
    </w:p>
    <w:p>
      <w:pPr>
        <w:pStyle w:val="Normal"/>
        <w:widowControl w:val="false"/>
        <w:jc w:val="both"/>
        <w:rPr/>
      </w:pPr>
      <w:r>
        <w:rPr>
          <w:sz w:val="19"/>
        </w:rPr>
        <w:tab/>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b/>
          <w:bCs/>
          <w:iCs/>
          <w:sz w:val="19"/>
        </w:rPr>
      </w:pPr>
      <w:r>
        <w:rPr>
          <w:b/>
          <w:bCs/>
          <w:iCs/>
          <w:sz w:val="19"/>
        </w:rPr>
        <w:t>DYNEGY EUROPE</w:t>
      </w:r>
    </w:p>
    <w:p>
      <w:pPr>
        <w:pStyle w:val="Normal"/>
        <w:widowControl w:val="false"/>
        <w:jc w:val="both"/>
        <w:rPr>
          <w:b/>
          <w:bCs/>
          <w:iCs/>
          <w:sz w:val="19"/>
        </w:rPr>
      </w:pPr>
      <w:r>
        <w:rPr>
          <w:b/>
          <w:bCs/>
          <w:iCs/>
          <w:sz w:val="19"/>
        </w:rPr>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20"/>
          <w:u w:val="single"/>
        </w:rPr>
      </w:pPr>
      <w:r>
        <w:rPr>
          <w:sz w:val="20"/>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20"/>
        </w:rPr>
        <w:t>"Confirmation"</w:t>
      </w:r>
      <w:r>
        <w:rPr>
          <w:sz w:val="20"/>
        </w:rPr>
        <w:t xml:space="preserve"> has the meaning set forth in Section 2.3.</w:t>
      </w:r>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or deemed accepted by the Parties in accordance with Section 2.3,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or deemed to be agreed to by the Parties in connection with a Product.</w:t>
      </w:r>
    </w:p>
    <w:p>
      <w:pPr>
        <w:pStyle w:val="BodyText"/>
        <w:jc w:val="both"/>
        <w:rPr/>
      </w:pPr>
      <w:r>
        <w:rPr>
          <w:b/>
          <w:i/>
          <w:sz w:val="20"/>
        </w:rPr>
        <w:t>"Recording"</w:t>
      </w:r>
      <w:r>
        <w:rPr>
          <w:sz w:val="20"/>
        </w:rPr>
        <w:t xml:space="preserve"> has the meaning set forth in Section 2.5.</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agreed to or deemed to be agreed to by the Parties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two (2)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20"/>
        </w:rPr>
      </w:pPr>
      <w:r>
        <w:rPr>
          <w:b/>
          <w:sz w:val="20"/>
        </w:rPr>
      </w:r>
    </w:p>
    <w:p>
      <w:pPr>
        <w:pStyle w:val="Normal"/>
        <w:numPr>
          <w:ilvl w:val="0"/>
          <w:numId w:val="0"/>
        </w:numPr>
        <w:tabs>
          <w:tab w:val="left" w:pos="720" w:leader="none"/>
        </w:tabs>
        <w:spacing w:before="0" w:after="120"/>
        <w:jc w:val="center"/>
        <w:rPr>
          <w:b/>
          <w:sz w:val="20"/>
        </w:rPr>
      </w:pPr>
      <w:r>
        <w:rPr>
          <w:b/>
          <w:sz w:val="20"/>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20"/>
        </w:rPr>
        <w:t>"S&amp;P"</w:t>
      </w:r>
      <w:r>
        <w:rPr>
          <w:sz w:val="20"/>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coverbody"/>
        <w:widowControl w:val="false"/>
        <w:spacing w:before="0" w:after="0"/>
        <w:rPr/>
      </w:pPr>
      <w:r>
        <w:rPr/>
        <w:t>Enron Broadband Services, L.P.</w:t>
        <w:tab/>
        <w:tab/>
        <w:tab/>
        <w:tab/>
        <w:tab/>
        <w:t>Dynegy Europe</w:t>
      </w:r>
    </w:p>
    <w:p>
      <w:pPr>
        <w:pStyle w:val="Normal"/>
        <w:widowControl w:val="false"/>
        <w:jc w:val="both"/>
        <w:rPr>
          <w:sz w:val="20"/>
        </w:rPr>
      </w:pPr>
      <w:r>
        <w:rPr>
          <w:sz w:val="20"/>
        </w:rPr>
        <w:t>1400 Smith Street, Suite 4400</w:t>
        <w:tab/>
        <w:tab/>
        <w:tab/>
        <w:tab/>
        <w:tab/>
      </w:r>
      <w:r>
        <w:rPr>
          <w:sz w:val="20"/>
          <w:u w:val="single"/>
        </w:rPr>
        <w:tab/>
        <w:tab/>
        <w:tab/>
        <w:tab/>
        <w:tab/>
        <w:tab/>
      </w:r>
    </w:p>
    <w:p>
      <w:pPr>
        <w:pStyle w:val="Normal"/>
        <w:widowControl w:val="false"/>
        <w:jc w:val="both"/>
        <w:rPr>
          <w:i/>
          <w:i/>
          <w:iCs/>
          <w:sz w:val="20"/>
        </w:rPr>
      </w:pPr>
      <w:r>
        <w:rPr>
          <w:sz w:val="20"/>
        </w:rPr>
        <w:t>Houston, Texas  77002</w:t>
        <w:tab/>
        <w:tab/>
        <w:tab/>
        <w:tab/>
        <w:tab/>
        <w:tab/>
      </w:r>
      <w:r>
        <w:rPr>
          <w:i/>
          <w:iCs/>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Fax No.:  </w:t>
      </w:r>
      <w:r>
        <w:rPr>
          <w:sz w:val="20"/>
          <w:u w:val="single"/>
        </w:rPr>
        <w:tab/>
        <w:tab/>
        <w:tab/>
        <w:tab/>
        <w:tab/>
      </w:r>
      <w:r>
        <w:rPr>
          <w:sz w:val="20"/>
        </w:rPr>
        <w:tab/>
        <w:tab/>
        <w:t xml:space="preserve">Fax No.:  </w:t>
      </w:r>
      <w:r>
        <w:rPr>
          <w:sz w:val="20"/>
          <w:u w:val="single"/>
        </w:rPr>
        <w:tab/>
        <w:tab/>
        <w:tab/>
        <w:tab/>
        <w:tab/>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 xml:space="preserve">Phone: </w:t>
      </w:r>
      <w:r>
        <w:rPr>
          <w:sz w:val="20"/>
          <w:u w:val="single"/>
        </w:rPr>
        <w:tab/>
        <w:t xml:space="preserve"> </w:t>
        <w:tab/>
        <w:tab/>
      </w:r>
      <w:r>
        <w:rPr>
          <w:sz w:val="20"/>
        </w:rPr>
        <w:t xml:space="preserve">Fax: </w:t>
      </w:r>
      <w:r>
        <w:rPr>
          <w:sz w:val="20"/>
          <w:u w:val="single"/>
        </w:rPr>
        <w:tab/>
        <w:tab/>
        <w:tab/>
      </w:r>
    </w:p>
    <w:p>
      <w:pPr>
        <w:pStyle w:val="Normal"/>
        <w:widowControl w:val="false"/>
        <w:jc w:val="both"/>
        <w:rPr>
          <w:sz w:val="20"/>
        </w:rPr>
      </w:pPr>
      <w:r>
        <w:rPr>
          <w:sz w:val="20"/>
        </w:rPr>
        <w:t>Bank:</w:t>
      </w:r>
      <w:r>
        <w:rPr>
          <w:sz w:val="20"/>
          <w:u w:val="single"/>
        </w:rPr>
        <w:tab/>
        <w:tab/>
        <w:tab/>
        <w:tab/>
        <w:tab/>
        <w:tab/>
      </w:r>
      <w:r>
        <w:rPr>
          <w:sz w:val="20"/>
        </w:rPr>
        <w:tab/>
        <w:tab/>
        <w:t>Bank:</w:t>
      </w:r>
      <w:r>
        <w:rPr>
          <w:sz w:val="20"/>
          <w:u w:val="single"/>
        </w:rPr>
        <w:tab/>
        <w:tab/>
        <w:tab/>
        <w:tab/>
        <w:tab/>
        <w:tab/>
      </w:r>
    </w:p>
    <w:p>
      <w:pPr>
        <w:pStyle w:val="Normal"/>
        <w:widowControl w:val="false"/>
        <w:jc w:val="both"/>
        <w:rPr>
          <w:sz w:val="20"/>
        </w:rPr>
      </w:pPr>
      <w:r>
        <w:rPr>
          <w:sz w:val="20"/>
        </w:rPr>
        <w:t xml:space="preserve">Account No. </w:t>
      </w:r>
      <w:r>
        <w:rPr>
          <w:sz w:val="20"/>
          <w:u w:val="single"/>
        </w:rPr>
        <w:tab/>
        <w:tab/>
        <w:tab/>
        <w:tab/>
        <w:tab/>
      </w:r>
      <w:r>
        <w:rPr>
          <w:sz w:val="20"/>
        </w:rPr>
        <w:tab/>
        <w:tab/>
        <w:t xml:space="preserve">Account No. </w:t>
      </w:r>
      <w:r>
        <w:rPr>
          <w:sz w:val="20"/>
          <w:u w:val="single"/>
        </w:rPr>
        <w:tab/>
        <w:tab/>
        <w:tab/>
        <w:tab/>
        <w:tab/>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 xml:space="preserve">ABA Routing No.  </w:t>
      </w:r>
      <w:r>
        <w:rPr>
          <w:spacing w:val="-6"/>
          <w:sz w:val="20"/>
          <w:u w:val="single"/>
        </w:rPr>
        <w:tab/>
        <w:tab/>
        <w:tab/>
        <w:tab/>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coverbody"/>
        <w:widowControl w:val="false"/>
        <w:spacing w:before="0" w:after="0"/>
        <w:rPr/>
      </w:pPr>
      <w:r>
        <w:rPr/>
        <w:t>Enron Broadband Services, L.P.</w:t>
        <w:tab/>
        <w:tab/>
        <w:tab/>
        <w:tab/>
        <w:tab/>
        <w:t>Dynegy Europe</w:t>
      </w:r>
    </w:p>
    <w:p>
      <w:pPr>
        <w:pStyle w:val="Normal"/>
        <w:widowControl w:val="false"/>
        <w:jc w:val="both"/>
        <w:rPr>
          <w:sz w:val="20"/>
        </w:rPr>
      </w:pPr>
      <w:r>
        <w:rPr>
          <w:sz w:val="20"/>
        </w:rPr>
        <w:t>1400 Smith Street, Suite 4400</w:t>
        <w:tab/>
        <w:tab/>
        <w:tab/>
        <w:tab/>
        <w:tab/>
      </w:r>
      <w:r>
        <w:rPr>
          <w:sz w:val="20"/>
          <w:u w:val="single"/>
        </w:rPr>
        <w:tab/>
        <w:tab/>
        <w:tab/>
        <w:tab/>
        <w:tab/>
        <w:tab/>
      </w:r>
    </w:p>
    <w:p>
      <w:pPr>
        <w:pStyle w:val="Normal"/>
        <w:widowControl w:val="false"/>
        <w:jc w:val="both"/>
        <w:rPr>
          <w:sz w:val="20"/>
        </w:rPr>
      </w:pPr>
      <w:r>
        <w:rPr>
          <w:sz w:val="20"/>
        </w:rPr>
        <w:t>Houston, Texas  77002</w:t>
        <w:tab/>
        <w:tab/>
        <w:tab/>
        <w:tab/>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Phone: </w:t>
        <w:tab/>
      </w:r>
      <w:r>
        <w:rPr>
          <w:sz w:val="20"/>
          <w:u w:val="single"/>
        </w:rPr>
        <w:tab/>
        <w:tab/>
      </w:r>
      <w:r>
        <w:rPr>
          <w:sz w:val="20"/>
        </w:rPr>
        <w:t xml:space="preserve"> Fax:  </w:t>
      </w:r>
      <w:r>
        <w:rPr>
          <w:sz w:val="20"/>
          <w:u w:val="single"/>
        </w:rPr>
        <w:tab/>
        <w:tab/>
        <w:tab/>
      </w:r>
      <w:r>
        <w:rPr>
          <w:sz w:val="20"/>
        </w:rPr>
        <w:tab/>
        <w:tab/>
        <w:t xml:space="preserve">Phone:  </w:t>
      </w:r>
      <w:r>
        <w:rPr>
          <w:sz w:val="20"/>
          <w:u w:val="single"/>
        </w:rPr>
        <w:tab/>
        <w:tab/>
        <w:tab/>
      </w:r>
      <w:r>
        <w:rPr>
          <w:sz w:val="20"/>
        </w:rPr>
        <w:t xml:space="preserve"> Fax:  </w:t>
      </w:r>
      <w:r>
        <w:rPr>
          <w:sz w:val="20"/>
          <w:u w:val="single"/>
        </w:rPr>
        <w:tab/>
        <w:tab/>
        <w:tab/>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r>
      <w:r>
        <w:rPr>
          <w:spacing w:val="-6"/>
          <w:sz w:val="20"/>
          <w:u w:val="single"/>
        </w:rPr>
        <w:tab/>
        <w:tab/>
        <w:tab/>
        <w:tab/>
        <w:tab/>
        <w:tab/>
      </w:r>
    </w:p>
    <w:p>
      <w:pPr>
        <w:pStyle w:val="Normal"/>
        <w:widowControl w:val="false"/>
        <w:jc w:val="both"/>
        <w:rPr>
          <w:sz w:val="20"/>
        </w:rPr>
      </w:pPr>
      <w:r>
        <w:rPr>
          <w:sz w:val="20"/>
        </w:rPr>
        <w:t xml:space="preserve">Attn: </w:t>
      </w:r>
      <w:r>
        <w:rPr>
          <w:spacing w:val="-6"/>
          <w:sz w:val="20"/>
        </w:rPr>
        <w:t xml:space="preserve"> </w:t>
      </w:r>
      <w:r>
        <w:rPr>
          <w:spacing w:val="-6"/>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xml:space="preserve">:  </w:t>
      </w:r>
      <w:r>
        <w:rPr>
          <w:sz w:val="20"/>
          <w:u w:val="single"/>
        </w:rPr>
        <w:tab/>
        <w:tab/>
        <w:tab/>
      </w:r>
      <w:r>
        <w:rPr>
          <w:sz w:val="20"/>
        </w:rPr>
        <w:t xml:space="preserve"> Fax:  </w:t>
      </w:r>
      <w:r>
        <w:rPr>
          <w:sz w:val="20"/>
          <w:u w:val="single"/>
        </w:rPr>
        <w:tab/>
        <w:tab/>
        <w:tab/>
      </w:r>
    </w:p>
    <w:p>
      <w:pPr>
        <w:pStyle w:val="Normal"/>
        <w:widowControl w:val="false"/>
        <w:jc w:val="both"/>
        <w:rPr>
          <w:sz w:val="20"/>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w:t>
      </w:r>
      <w:r>
        <w:rPr>
          <w:sz w:val="20"/>
          <w:u w:val="single"/>
        </w:rPr>
        <w:tab/>
        <w:tab/>
        <w:tab/>
      </w:r>
    </w:p>
    <w:p>
      <w:pPr>
        <w:pStyle w:val="Normal"/>
        <w:widowControl w:val="false"/>
        <w:jc w:val="both"/>
        <w:rPr>
          <w:sz w:val="20"/>
        </w:rPr>
      </w:pPr>
      <w:r>
        <w:rPr>
          <w:spacing w:val="-6"/>
          <w:sz w:val="20"/>
        </w:rPr>
        <w:t xml:space="preserve">E-mail:  </w:t>
      </w:r>
      <w:r>
        <w:rPr>
          <w:spacing w:val="-6"/>
          <w:sz w:val="20"/>
          <w:u w:val="single"/>
        </w:rPr>
        <w:tab/>
        <w:tab/>
        <w:tab/>
        <w:tab/>
        <w:tab/>
        <w:tab/>
      </w:r>
      <w:r>
        <w:rPr>
          <w:spacing w:val="-6"/>
          <w:sz w:val="20"/>
        </w:rPr>
        <w:tab/>
        <w:tab/>
        <w:t>E-mail</w:t>
      </w:r>
      <w:r>
        <w:rPr>
          <w:sz w:val="20"/>
        </w:rPr>
        <w:t xml:space="preserve">:  </w:t>
      </w:r>
      <w:r>
        <w:rPr>
          <w:sz w:val="20"/>
          <w:u w:val="single"/>
        </w:rPr>
        <w:tab/>
        <w:tab/>
        <w:tab/>
        <w:tab/>
        <w:tab/>
        <w:tab/>
      </w:r>
    </w:p>
    <w:p>
      <w:pPr>
        <w:pStyle w:val="BodyText"/>
        <w:spacing w:before="0" w:after="0"/>
        <w:jc w:val="center"/>
        <w:rPr>
          <w:b/>
          <w:sz w:val="20"/>
        </w:rPr>
      </w:pPr>
      <w:r>
        <w:rPr>
          <w:b/>
          <w:sz w:val="20"/>
        </w:rPr>
      </w:r>
    </w:p>
    <w:p>
      <w:pPr>
        <w:sectPr>
          <w:headerReference w:type="default" r:id="rId8"/>
          <w:footerReference w:type="default" r:id="rId9"/>
          <w:type w:val="nextPage"/>
          <w:pgSz w:w="12240" w:h="15840"/>
          <w:pgMar w:left="720" w:right="720" w:gutter="0" w:header="720" w:top="1008" w:footer="576" w:bottom="1008"/>
          <w:pgNumType w:start="13"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20"/>
        </w:rPr>
      </w:pPr>
      <w:r>
        <w:rPr>
          <w:b/>
          <w:sz w:val="20"/>
        </w:rPr>
      </w:r>
    </w:p>
    <w:p>
      <w:pPr>
        <w:pStyle w:val="BodyText"/>
        <w:spacing w:before="0" w:after="0"/>
        <w:jc w:val="center"/>
        <w:rPr>
          <w:b/>
          <w:sz w:val="20"/>
        </w:rPr>
      </w:pPr>
      <w:r>
        <w:rPr>
          <w:b/>
          <w:sz w:val="20"/>
        </w:rPr>
      </w:r>
    </w:p>
    <w:p>
      <w:pPr>
        <w:sectPr>
          <w:headerReference w:type="default" r:id="rId10"/>
          <w:footerReference w:type="default" r:id="rId11"/>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2.4</w:t>
      </w:r>
      <w:r>
        <w:rPr>
          <w:sz w:val="20"/>
        </w:rPr>
        <w:tab/>
      </w:r>
      <w:r>
        <w:fldChar w:fldCharType="begin">
          <w:ffData>
            <w:name w:val="Check5"/>
            <w:enabled/>
            <w:calcOnExit w:val="0"/>
            <w:checkBox>
              <w:sizeAuto/>
              <w:checked/>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1"/>
            <w:enabled/>
            <w:calcOnExit w:val="0"/>
            <w:checkBox>
              <w:sizeAuto/>
            </w:checkBox>
          </w:ffData>
        </w:fldChar>
      </w:r>
      <w:r>
        <w:rPr>
          <w:sz w:val="20"/>
          <w:b/>
        </w:rPr>
        <w:instrText xml:space="preserve"> FORMCHECKBOX </w:instrText>
      </w:r>
      <w:r>
        <w:rPr>
          <w:sz w:val="20"/>
          <w:b/>
        </w:rPr>
        <w:fldChar w:fldCharType="separate"/>
      </w:r>
      <w:bookmarkStart w:id="3" w:name="Check1"/>
      <w:bookmarkStart w:id="4" w:name="Check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2.4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Unnamed"/>
            <w:enabled/>
            <w:calcOnExit w:val="0"/>
            <w:checkBox>
              <w:sizeAuto/>
              <w:checked/>
            </w:checkBox>
          </w:ffData>
        </w:fldChar>
      </w:r>
      <w:r>
        <w:rPr>
          <w:sz w:val="20"/>
          <w:b/>
        </w:rPr>
        <w:instrText xml:space="preserve"> FORMCHECKBOX </w:instrText>
      </w:r>
      <w:r>
        <w:rPr>
          <w:sz w:val="20"/>
          <w:b/>
        </w:rPr>
        <w:fldChar w:fldCharType="separate"/>
      </w:r>
      <w:bookmarkStart w:id="5" w:name="Unnamed"/>
      <w:bookmarkStart w:id="6" w:name="Unnamed"/>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2"/>
            <w:enabled/>
            <w:calcOnExit w:val="0"/>
            <w:checkBox>
              <w:sizeAuto/>
            </w:checkBox>
          </w:ffData>
        </w:fldChar>
      </w:r>
      <w:r>
        <w:rPr>
          <w:sz w:val="20"/>
        </w:rPr>
        <w:instrText xml:space="preserve"> FORMCHECKBOX </w:instrText>
      </w:r>
      <w:r>
        <w:rPr>
          <w:sz w:val="20"/>
        </w:rPr>
        <w:fldChar w:fldCharType="separate"/>
      </w:r>
      <w:bookmarkStart w:id="7" w:name="Check2"/>
      <w:bookmarkStart w:id="8" w:name="Check2"/>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9" w:name="Check3"/>
      <w:bookmarkStart w:id="10" w:name="Check3"/>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Check4"/>
            <w:enabled/>
            <w:calcOnExit w:val="0"/>
            <w:checkBox>
              <w:sizeAuto/>
            </w:checkBox>
          </w:ffData>
        </w:fldChar>
      </w:r>
      <w:r>
        <w:rPr>
          <w:sz w:val="20"/>
          <w:b/>
        </w:rPr>
        <w:instrText xml:space="preserve"> FORMCHECKBOX </w:instrText>
      </w:r>
      <w:r>
        <w:rPr>
          <w:sz w:val="20"/>
          <w:b/>
        </w:rPr>
        <w:fldChar w:fldCharType="separate"/>
      </w:r>
      <w:bookmarkStart w:id="11" w:name="Check4"/>
      <w:bookmarkStart w:id="12" w:name="Check4"/>
      <w:bookmarkEnd w:id="12"/>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ed/>
            </w:checkBox>
          </w:ffData>
        </w:fldChar>
      </w:r>
      <w:r>
        <w:rPr>
          <w:sz w:val="20"/>
        </w:rPr>
        <w:instrText xml:space="preserve"> FORMCHECKBOX </w:instrText>
      </w:r>
      <w:r>
        <w:rPr>
          <w:sz w:val="20"/>
        </w:rPr>
        <w:fldChar w:fldCharType="separate"/>
      </w:r>
      <w:bookmarkStart w:id="13" w:name="Check14"/>
      <w:bookmarkStart w:id="14" w:name="Check14"/>
      <w:bookmarkEnd w:id="14"/>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Unnamed Copy 1"/>
            <w:enabled/>
            <w:calcOnExit w:val="0"/>
            <w:checkBox>
              <w:sizeAuto/>
              <w:checked/>
            </w:checkBox>
          </w:ffData>
        </w:fldChar>
      </w:r>
      <w:r>
        <w:rPr>
          <w:sz w:val="20"/>
        </w:rPr>
        <w:instrText xml:space="preserve"> FORMCHECKBOX </w:instrText>
      </w:r>
      <w:r>
        <w:rPr>
          <w:sz w:val="20"/>
        </w:rPr>
        <w:fldChar w:fldCharType="separate"/>
      </w:r>
      <w:bookmarkStart w:id="15" w:name="Unnamed_Copy_1"/>
      <w:bookmarkStart w:id="16" w:name="Unnamed_Copy_1"/>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15"/>
            <w:enabled/>
            <w:calcOnExit w:val="0"/>
            <w:checkBox>
              <w:sizeAuto/>
            </w:checkBox>
          </w:ffData>
        </w:fldChar>
      </w:r>
      <w:r>
        <w:rPr>
          <w:sz w:val="20"/>
        </w:rPr>
        <w:instrText xml:space="preserve"> FORMCHECKBOX </w:instrText>
      </w:r>
      <w:r>
        <w:rPr>
          <w:sz w:val="20"/>
        </w:rPr>
        <w:fldChar w:fldCharType="separate"/>
      </w:r>
      <w:bookmarkStart w:id="17" w:name="Check15"/>
      <w:bookmarkStart w:id="18" w:name="Check15"/>
      <w:bookmarkEnd w:id="18"/>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Unnamed Copy 2"/>
            <w:enabled/>
            <w:calcOnExit w:val="0"/>
            <w:checkBox>
              <w:sizeAuto/>
              <w:checked/>
            </w:checkBox>
          </w:ffData>
        </w:fldChar>
      </w:r>
      <w:r>
        <w:rPr>
          <w:sz w:val="20"/>
        </w:rPr>
        <w:instrText xml:space="preserve"> FORMCHECKBOX </w:instrText>
      </w:r>
      <w:r>
        <w:rPr>
          <w:sz w:val="20"/>
        </w:rPr>
        <w:fldChar w:fldCharType="separate"/>
      </w:r>
      <w:bookmarkStart w:id="19" w:name="Unnamed_Copy_2"/>
      <w:bookmarkStart w:id="20" w:name="Unnamed_Copy_2"/>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1"/>
            <w:enabled/>
            <w:calcOnExit w:val="0"/>
            <w:checkBox>
              <w:sizeAuto/>
            </w:checkBox>
          </w:ffData>
        </w:fldChar>
      </w:r>
      <w:r>
        <w:rPr>
          <w:sz w:val="20"/>
        </w:rPr>
        <w:instrText xml:space="preserve"> FORMCHECKBOX </w:instrText>
      </w:r>
      <w:r>
        <w:rPr>
          <w:sz w:val="20"/>
        </w:rPr>
        <w:fldChar w:fldCharType="separate"/>
      </w:r>
      <w:bookmarkStart w:id="21" w:name="Check15_Copy_1"/>
      <w:bookmarkStart w:id="22" w:name="Check15_Copy_1"/>
      <w:bookmarkEnd w:id="22"/>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7"/>
            <w:enabled/>
            <w:calcOnExit w:val="0"/>
            <w:checkBox>
              <w:sizeAuto/>
            </w:checkBox>
          </w:ffData>
        </w:fldChar>
      </w:r>
      <w:r>
        <w:rPr>
          <w:sz w:val="20"/>
        </w:rPr>
        <w:instrText xml:space="preserve"> FORMCHECKBOX </w:instrText>
      </w:r>
      <w:r>
        <w:rPr>
          <w:sz w:val="20"/>
        </w:rPr>
        <w:fldChar w:fldCharType="separate"/>
      </w:r>
      <w:bookmarkStart w:id="23" w:name="Check7"/>
      <w:bookmarkStart w:id="24" w:name="Check7"/>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25" w:name="Check15_Copy_2"/>
      <w:bookmarkStart w:id="26" w:name="Check15_Copy_2"/>
      <w:bookmarkEnd w:id="26"/>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27" w:name="Check15_Copy_3"/>
      <w:bookmarkStart w:id="28" w:name="Check15_Copy_3"/>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Unnamed Copy 3"/>
            <w:enabled/>
            <w:calcOnExit w:val="0"/>
            <w:checkBox>
              <w:sizeAuto/>
              <w:checked/>
            </w:checkBox>
          </w:ffData>
        </w:fldChar>
      </w:r>
      <w:r>
        <w:rPr>
          <w:sz w:val="20"/>
        </w:rPr>
        <w:instrText xml:space="preserve"> FORMCHECKBOX </w:instrText>
      </w:r>
      <w:r>
        <w:rPr>
          <w:sz w:val="20"/>
        </w:rPr>
        <w:fldChar w:fldCharType="separate"/>
      </w:r>
      <w:bookmarkStart w:id="29" w:name="Unnamed_Copy_3"/>
      <w:bookmarkStart w:id="30" w:name="Unnamed_Copy_3"/>
      <w:bookmarkEnd w:id="30"/>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31" w:name="Check15_Copy_4"/>
      <w:bookmarkStart w:id="32" w:name="Check15_Copy_4"/>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Unnamed Copy 4"/>
            <w:enabled/>
            <w:calcOnExit w:val="0"/>
            <w:checkBox>
              <w:sizeAuto/>
              <w:checked/>
            </w:checkBox>
          </w:ffData>
        </w:fldChar>
      </w:r>
      <w:r>
        <w:rPr>
          <w:sz w:val="20"/>
          <w:b/>
        </w:rPr>
        <w:instrText xml:space="preserve"> FORMCHECKBOX </w:instrText>
      </w:r>
      <w:r>
        <w:rPr>
          <w:sz w:val="20"/>
          <w:b/>
        </w:rPr>
        <w:fldChar w:fldCharType="separate"/>
      </w:r>
      <w:bookmarkStart w:id="33" w:name="Unnamed_Copy_4"/>
      <w:bookmarkStart w:id="34" w:name="Unnamed_Copy_4"/>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8"/>
            <w:enabled/>
            <w:calcOnExit w:val="0"/>
            <w:checkBox>
              <w:sizeAuto/>
            </w:checkBox>
          </w:ffData>
        </w:fldChar>
      </w:r>
      <w:r>
        <w:rPr>
          <w:sz w:val="20"/>
        </w:rPr>
        <w:instrText xml:space="preserve"> FORMCHECKBOX </w:instrText>
      </w:r>
      <w:r>
        <w:rPr>
          <w:sz w:val="20"/>
        </w:rPr>
        <w:fldChar w:fldCharType="separate"/>
      </w:r>
      <w:bookmarkStart w:id="35" w:name="Check8"/>
      <w:bookmarkStart w:id="36" w:name="Check8"/>
      <w:bookmarkEnd w:id="36"/>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9"/>
            <w:enabled/>
            <w:calcOnExit w:val="0"/>
            <w:checkBox>
              <w:sizeAuto/>
            </w:checkBox>
          </w:ffData>
        </w:fldChar>
      </w:r>
      <w:r>
        <w:rPr>
          <w:sz w:val="20"/>
        </w:rPr>
        <w:instrText xml:space="preserve"> FORMCHECKBOX </w:instrText>
      </w:r>
      <w:r>
        <w:rPr>
          <w:sz w:val="20"/>
        </w:rPr>
        <w:fldChar w:fldCharType="separate"/>
      </w:r>
      <w:bookmarkStart w:id="37" w:name="Check9"/>
      <w:bookmarkStart w:id="38" w:name="Check9"/>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0"/>
            <w:enabled/>
            <w:calcOnExit w:val="0"/>
            <w:checkBox>
              <w:sizeAuto/>
            </w:checkBox>
          </w:ffData>
        </w:fldChar>
      </w:r>
      <w:r>
        <w:rPr>
          <w:sz w:val="20"/>
          <w:b/>
        </w:rPr>
        <w:instrText xml:space="preserve"> FORMCHECKBOX </w:instrText>
      </w:r>
      <w:r>
        <w:rPr>
          <w:sz w:val="20"/>
          <w:b/>
        </w:rPr>
        <w:fldChar w:fldCharType="separate"/>
      </w:r>
      <w:bookmarkStart w:id="39" w:name="Check10"/>
      <w:bookmarkStart w:id="40" w:name="Check10"/>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1"/>
            <w:enabled/>
            <w:calcOnExit w:val="0"/>
            <w:checkBox>
              <w:sizeAuto/>
            </w:checkBox>
          </w:ffData>
        </w:fldChar>
      </w:r>
      <w:r>
        <w:rPr>
          <w:sz w:val="20"/>
          <w:b/>
        </w:rPr>
        <w:instrText xml:space="preserve"> FORMCHECKBOX </w:instrText>
      </w:r>
      <w:r>
        <w:rPr>
          <w:sz w:val="20"/>
          <w:b/>
        </w:rPr>
        <w:fldChar w:fldCharType="separate"/>
      </w:r>
      <w:bookmarkStart w:id="41" w:name="Check11"/>
      <w:bookmarkStart w:id="42" w:name="Check11"/>
      <w:bookmarkEnd w:id="42"/>
      <w:r>
        <w:rPr>
          <w:b/>
          <w:sz w:val="20"/>
        </w:rPr>
      </w:r>
      <w:r>
        <w:rPr>
          <w:sz w:val="20"/>
          <w:b/>
        </w:rPr>
        <w:fldChar w:fldCharType="end"/>
      </w:r>
      <w:r>
        <w:rPr>
          <w:sz w:val="20"/>
        </w:rPr>
        <w:t xml:space="preserve"> Other 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w:enabled/>
            <w:calcOnExit w:val="0"/>
            <w:checkBox>
              <w:sizeAuto/>
              <w:checked/>
            </w:checkBox>
          </w:ffData>
        </w:fldChar>
      </w:r>
      <w:r>
        <w:rPr>
          <w:sz w:val="20"/>
        </w:rPr>
        <w:instrText xml:space="preserve"> FORMCHECKBOX </w:instrText>
      </w:r>
      <w:r>
        <w:rPr>
          <w:sz w:val="20"/>
        </w:rPr>
        <w:fldChar w:fldCharType="separate"/>
      </w:r>
      <w:bookmarkStart w:id="43" w:name="Check6"/>
      <w:bookmarkStart w:id="44" w:name="Check6"/>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2"/>
            <w:enabled/>
            <w:calcOnExit w:val="0"/>
            <w:checkBox>
              <w:sizeAuto/>
            </w:checkBox>
          </w:ffData>
        </w:fldChar>
      </w:r>
      <w:r>
        <w:rPr>
          <w:sz w:val="20"/>
        </w:rPr>
        <w:instrText xml:space="preserve"> FORMCHECKBOX </w:instrText>
      </w:r>
      <w:r>
        <w:rPr>
          <w:sz w:val="20"/>
        </w:rPr>
        <w:fldChar w:fldCharType="separate"/>
      </w:r>
      <w:bookmarkStart w:id="45" w:name="Check12"/>
      <w:bookmarkStart w:id="46" w:name="Check12"/>
      <w:bookmarkEnd w:id="46"/>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3"/>
            <w:enabled/>
            <w:calcOnExit w:val="0"/>
            <w:checkBox>
              <w:sizeAuto/>
            </w:checkBox>
          </w:ffData>
        </w:fldChar>
      </w:r>
      <w:r>
        <w:rPr>
          <w:sz w:val="20"/>
        </w:rPr>
        <w:instrText xml:space="preserve"> FORMCHECKBOX </w:instrText>
      </w:r>
      <w:r>
        <w:rPr>
          <w:sz w:val="20"/>
        </w:rPr>
        <w:fldChar w:fldCharType="separate"/>
      </w:r>
      <w:bookmarkStart w:id="47" w:name="Check13"/>
      <w:bookmarkStart w:id="48" w:name="Check13"/>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5 Copy 5"/>
            <w:enabled/>
            <w:calcOnExit w:val="0"/>
            <w:checkBox>
              <w:sizeAuto/>
            </w:checkBox>
          </w:ffData>
        </w:fldChar>
      </w:r>
      <w:r>
        <w:rPr>
          <w:sz w:val="20"/>
        </w:rPr>
        <w:instrText xml:space="preserve"> FORMCHECKBOX </w:instrText>
      </w:r>
      <w:r>
        <w:rPr>
          <w:sz w:val="20"/>
        </w:rPr>
        <w:fldChar w:fldCharType="separate"/>
      </w:r>
      <w:bookmarkStart w:id="49" w:name="Check15_Copy_5"/>
      <w:bookmarkStart w:id="50" w:name="Check15_Copy_5"/>
      <w:bookmarkEnd w:id="50"/>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Unnamed Copy 5"/>
            <w:enabled/>
            <w:calcOnExit w:val="0"/>
            <w:checkBox>
              <w:sizeAuto/>
              <w:checked/>
            </w:checkBox>
          </w:ffData>
        </w:fldChar>
      </w:r>
      <w:r>
        <w:rPr>
          <w:sz w:val="20"/>
          <w:b/>
        </w:rPr>
        <w:instrText xml:space="preserve"> FORMCHECKBOX </w:instrText>
      </w:r>
      <w:r>
        <w:rPr>
          <w:sz w:val="20"/>
          <w:b/>
        </w:rPr>
        <w:fldChar w:fldCharType="separate"/>
      </w:r>
      <w:bookmarkStart w:id="51" w:name="Unnamed_Copy_5"/>
      <w:bookmarkStart w:id="52" w:name="Unnamed_Copy_5"/>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53" w:name="Check17"/>
      <w:bookmarkStart w:id="54" w:name="Check17"/>
      <w:bookmarkEnd w:id="5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55" w:name="Check18"/>
      <w:bookmarkStart w:id="56" w:name="Check18"/>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19"/>
            <w:enabled/>
            <w:calcOnExit w:val="0"/>
            <w:checkBox>
              <w:sizeAuto/>
            </w:checkBox>
          </w:ffData>
        </w:fldChar>
      </w:r>
      <w:r>
        <w:rPr>
          <w:sz w:val="20"/>
          <w:b/>
        </w:rPr>
        <w:instrText xml:space="preserve"> FORMCHECKBOX </w:instrText>
      </w:r>
      <w:r>
        <w:rPr>
          <w:sz w:val="20"/>
          <w:b/>
        </w:rPr>
        <w:fldChar w:fldCharType="separate"/>
      </w:r>
      <w:bookmarkStart w:id="57" w:name="Check19"/>
      <w:bookmarkStart w:id="58" w:name="Check19"/>
      <w:bookmarkEnd w:id="58"/>
      <w:r>
        <w:rPr>
          <w:b/>
          <w:sz w:val="20"/>
        </w:rPr>
      </w:r>
      <w:r>
        <w:rPr>
          <w:sz w:val="20"/>
          <w:b/>
        </w:rPr>
        <w:fldChar w:fldCharType="end"/>
      </w:r>
      <w:r>
        <w:rPr>
          <w:sz w:val="20"/>
        </w:rPr>
        <w:t xml:space="preserve"> Other_____________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Unnamed Copy 6"/>
            <w:enabled/>
            <w:calcOnExit w:val="0"/>
            <w:checkBox>
              <w:sizeAuto/>
              <w:checked/>
            </w:checkBox>
          </w:ffData>
        </w:fldChar>
      </w:r>
      <w:r>
        <w:rPr>
          <w:sz w:val="20"/>
          <w:b/>
        </w:rPr>
        <w:instrText xml:space="preserve"> FORMCHECKBOX </w:instrText>
      </w:r>
      <w:r>
        <w:rPr>
          <w:sz w:val="20"/>
          <w:b/>
        </w:rPr>
        <w:fldChar w:fldCharType="separate"/>
      </w:r>
      <w:bookmarkStart w:id="59" w:name="Unnamed_Copy_6"/>
      <w:bookmarkStart w:id="60" w:name="Unnamed_Copy_6"/>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61" w:name="Check21"/>
      <w:bookmarkStart w:id="62" w:name="Check21"/>
      <w:bookmarkEnd w:id="62"/>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63" w:name="Check22"/>
      <w:bookmarkStart w:id="64" w:name="Check22"/>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23"/>
            <w:enabled/>
            <w:calcOnExit w:val="0"/>
            <w:checkBox>
              <w:sizeAuto/>
            </w:checkBox>
          </w:ffData>
        </w:fldChar>
      </w:r>
      <w:r>
        <w:rPr>
          <w:sz w:val="20"/>
          <w:b/>
        </w:rPr>
        <w:instrText xml:space="preserve"> FORMCHECKBOX </w:instrText>
      </w:r>
      <w:r>
        <w:rPr>
          <w:sz w:val="20"/>
          <w:b/>
        </w:rPr>
        <w:fldChar w:fldCharType="separate"/>
      </w:r>
      <w:bookmarkStart w:id="65" w:name="Check23"/>
      <w:bookmarkStart w:id="66" w:name="Check23"/>
      <w:bookmarkEnd w:id="66"/>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ed/>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69" w:name="Check17_Copy_1"/>
      <w:bookmarkStart w:id="70" w:name="Check17_Copy_1"/>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rPr>
          <w:u w:val="single"/>
        </w:rPr>
      </w:pPr>
      <w:r>
        <w:rPr/>
        <w:tab/>
        <w:t>Name of other Person:  Enron Corp.</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Cross Default Amount:  U.S. $100,000,000</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Unnamed Copy 7"/>
            <w:enabled/>
            <w:calcOnExit w:val="0"/>
            <w:checkBox>
              <w:sizeAuto/>
              <w:checked/>
            </w:checkBox>
          </w:ffData>
        </w:fldChar>
      </w:r>
      <w:r>
        <w:rPr>
          <w:sz w:val="20"/>
        </w:rPr>
        <w:instrText xml:space="preserve"> FORMCHECKBOX </w:instrText>
      </w:r>
      <w:r>
        <w:rPr>
          <w:sz w:val="20"/>
        </w:rPr>
        <w:fldChar w:fldCharType="separate"/>
      </w:r>
      <w:bookmarkStart w:id="71" w:name="Unnamed_Copy_7"/>
      <w:bookmarkStart w:id="72" w:name="Unnamed_Copy_7"/>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3" w:name="Check17_Copy_2"/>
      <w:bookmarkStart w:id="74" w:name="Check17_Copy_2"/>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ab/>
        <w:tab/>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rPr/>
      </w:pPr>
      <w:r>
        <w:rPr/>
        <w:tab/>
        <w:t>Name of other Person:</w:t>
        <w:tab/>
        <w:t>Dynegy Holdings Inc.</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Cross Default Amount:  U.S. $100,000,000</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8"/>
            <w:enabled/>
            <w:calcOnExit w:val="0"/>
            <w:checkBox>
              <w:sizeAuto/>
              <w:checked/>
            </w:checkBox>
          </w:ffData>
        </w:fldChar>
      </w:r>
      <w:r>
        <w:rPr>
          <w:sz w:val="20"/>
        </w:rPr>
        <w:instrText xml:space="preserve"> FORMCHECKBOX </w:instrText>
      </w:r>
      <w:r>
        <w:rPr>
          <w:sz w:val="20"/>
        </w:rPr>
        <w:fldChar w:fldCharType="separate"/>
      </w:r>
      <w:bookmarkStart w:id="75" w:name="Unnamed_Copy_8"/>
      <w:bookmarkStart w:id="76" w:name="Unnamed_Copy_8"/>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77" w:name="Check17_Copy_3"/>
      <w:bookmarkStart w:id="78" w:name="Check17_Copy_3"/>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U.S. $10,000,000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U.S.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Unnamed Copy 9"/>
            <w:enabled/>
            <w:calcOnExit w:val="0"/>
            <w:checkBox>
              <w:sizeAuto/>
              <w:checked/>
            </w:checkBox>
          </w:ffData>
        </w:fldChar>
      </w:r>
      <w:r>
        <w:rPr>
          <w:sz w:val="20"/>
        </w:rPr>
        <w:instrText xml:space="preserve"> FORMCHECKBOX </w:instrText>
      </w:r>
      <w:r>
        <w:rPr>
          <w:sz w:val="20"/>
        </w:rPr>
        <w:fldChar w:fldCharType="separate"/>
      </w:r>
      <w:bookmarkStart w:id="79" w:name="Unnamed_Copy_9"/>
      <w:bookmarkStart w:id="80" w:name="Unnamed_Copy_9"/>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4"/>
            <w:enabled/>
            <w:calcOnExit w:val="0"/>
            <w:checkBox>
              <w:sizeAuto/>
            </w:checkBox>
          </w:ffData>
        </w:fldChar>
      </w:r>
      <w:r>
        <w:rPr>
          <w:sz w:val="20"/>
        </w:rPr>
        <w:instrText xml:space="preserve"> FORMCHECKBOX </w:instrText>
      </w:r>
      <w:r>
        <w:rPr>
          <w:sz w:val="20"/>
        </w:rPr>
        <w:fldChar w:fldCharType="separate"/>
      </w:r>
      <w:bookmarkStart w:id="81" w:name="Check17_Copy_4"/>
      <w:bookmarkStart w:id="82" w:name="Check17_Copy_4"/>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U.S. $10,000,000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U.S. $250,000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ed/>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85" w:name="Check25"/>
      <w:bookmarkStart w:id="86" w:name="Check25"/>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Enron Corp.</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U.S. $15,000,000</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Unnamed Copy 10"/>
            <w:enabled/>
            <w:calcOnExit w:val="0"/>
            <w:checkBox>
              <w:sizeAuto/>
              <w:checked/>
            </w:checkBox>
          </w:ffData>
        </w:fldChar>
      </w:r>
      <w:r>
        <w:rPr>
          <w:sz w:val="20"/>
        </w:rPr>
        <w:instrText xml:space="preserve"> FORMCHECKBOX </w:instrText>
      </w:r>
      <w:r>
        <w:rPr>
          <w:sz w:val="20"/>
        </w:rPr>
        <w:fldChar w:fldCharType="separate"/>
      </w:r>
      <w:bookmarkStart w:id="87" w:name="Unnamed_Copy_10"/>
      <w:bookmarkStart w:id="88" w:name="Unnamed_Copy_10"/>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Copy 1"/>
            <w:enabled/>
            <w:calcOnExit w:val="0"/>
            <w:checkBox>
              <w:sizeAuto/>
            </w:checkBox>
          </w:ffData>
        </w:fldChar>
      </w:r>
      <w:r>
        <w:rPr>
          <w:sz w:val="20"/>
        </w:rPr>
        <w:instrText xml:space="preserve"> FORMCHECKBOX </w:instrText>
      </w:r>
      <w:r>
        <w:rPr>
          <w:sz w:val="20"/>
        </w:rPr>
        <w:fldChar w:fldCharType="separate"/>
      </w:r>
      <w:bookmarkStart w:id="89" w:name="Check25_Copy_1"/>
      <w:bookmarkStart w:id="90" w:name="Check25_Copy_1"/>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Dynegy Holdings Inc.</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U.S. $15,000,000</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ed/>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1"/>
            <w:enabled/>
            <w:calcOnExit w:val="0"/>
            <w:checkBox>
              <w:sizeAuto/>
            </w:checkBox>
          </w:ffData>
        </w:fldChar>
      </w:r>
      <w:r>
        <w:rPr>
          <w:sz w:val="20"/>
        </w:rPr>
        <w:instrText xml:space="preserve"> FORMCHECKBOX </w:instrText>
      </w:r>
      <w:r>
        <w:rPr>
          <w:sz w:val="20"/>
        </w:rPr>
        <w:fldChar w:fldCharType="separate"/>
      </w:r>
      <w:bookmarkStart w:id="93" w:name="Check21_Copy_1"/>
      <w:bookmarkStart w:id="94" w:name="Check21_Copy_1"/>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If applicable, Material Adverse Change with respect to Party A means:  its Guarantor’s Credit Rating is below “BBB-” by S&amp;P or its Guarantor fails to have a Credit Rating from S&amp;P.</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Unnamed Copy 11"/>
            <w:enabled/>
            <w:calcOnExit w:val="0"/>
            <w:checkBox>
              <w:sizeAuto/>
              <w:checked/>
            </w:checkBox>
          </w:ffData>
        </w:fldChar>
      </w:r>
      <w:r>
        <w:rPr>
          <w:sz w:val="20"/>
        </w:rPr>
        <w:instrText xml:space="preserve"> FORMCHECKBOX </w:instrText>
      </w:r>
      <w:r>
        <w:rPr>
          <w:sz w:val="20"/>
        </w:rPr>
        <w:fldChar w:fldCharType="separate"/>
      </w:r>
      <w:bookmarkStart w:id="95" w:name="Unnamed_Copy_11"/>
      <w:bookmarkStart w:id="96" w:name="Unnamed_Copy_11"/>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2"/>
            <w:enabled/>
            <w:calcOnExit w:val="0"/>
            <w:checkBox>
              <w:sizeAuto/>
            </w:checkBox>
          </w:ffData>
        </w:fldChar>
      </w:r>
      <w:r>
        <w:rPr>
          <w:sz w:val="20"/>
        </w:rPr>
        <w:instrText xml:space="preserve"> FORMCHECKBOX </w:instrText>
      </w:r>
      <w:r>
        <w:rPr>
          <w:sz w:val="20"/>
        </w:rPr>
        <w:fldChar w:fldCharType="separate"/>
      </w:r>
      <w:bookmarkStart w:id="97" w:name="Check21_Copy_2"/>
      <w:bookmarkStart w:id="98" w:name="Check21_Copy_2"/>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If applicable, Material Adverse Change with respect to Party B means:  its Guarantor’s Credit Rating is below “BBB-” by S&amp;P or its Guarantor fails to have a Credit Rating from S&amp;P.</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Unnamed Copy 12"/>
            <w:enabled/>
            <w:calcOnExit w:val="0"/>
            <w:checkBox>
              <w:sizeAuto/>
              <w:checked/>
            </w:checkBox>
          </w:ffData>
        </w:fldChar>
      </w:r>
      <w:r>
        <w:rPr>
          <w:sz w:val="20"/>
        </w:rPr>
        <w:instrText xml:space="preserve"> FORMCHECKBOX </w:instrText>
      </w:r>
      <w:r>
        <w:rPr>
          <w:sz w:val="20"/>
        </w:rPr>
        <w:fldChar w:fldCharType="separate"/>
      </w:r>
      <w:bookmarkStart w:id="99" w:name="Unnamed_Copy_12"/>
      <w:bookmarkStart w:id="100" w:name="Unnamed_Copy_12"/>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Copy 3"/>
            <w:enabled/>
            <w:calcOnExit w:val="0"/>
            <w:checkBox>
              <w:sizeAuto/>
            </w:checkBox>
          </w:ffData>
        </w:fldChar>
      </w:r>
      <w:r>
        <w:rPr>
          <w:sz w:val="20"/>
        </w:rPr>
        <w:instrText xml:space="preserve"> FORMCHECKBOX </w:instrText>
      </w:r>
      <w:r>
        <w:rPr>
          <w:sz w:val="20"/>
        </w:rPr>
        <w:fldChar w:fldCharType="separate"/>
      </w:r>
      <w:bookmarkStart w:id="101" w:name="Check21_Copy_3"/>
      <w:bookmarkStart w:id="102" w:name="Check21_Copy_3"/>
      <w:bookmarkEnd w:id="102"/>
      <w:r>
        <w:rPr>
          <w:sz w:val="20"/>
        </w:rPr>
      </w:r>
      <w:r>
        <w:rPr>
          <w:sz w:val="20"/>
        </w:rPr>
        <w:fldChar w:fldCharType="end"/>
      </w:r>
      <w:r>
        <w:rPr>
          <w:sz w:val="20"/>
        </w:rPr>
        <w:t xml:space="preserve"> Other</w:t>
      </w:r>
      <w:r>
        <w:rPr>
          <w:sz w:val="20"/>
          <w:u w:val="single"/>
        </w:rPr>
        <w:tab/>
        <w:tab/>
        <w:tab/>
        <w:tab/>
        <w:tab/>
        <w:tab/>
        <w:tab/>
        <w:tab/>
        <w:tab/>
        <w:tab/>
        <w:tab/>
        <w:tab/>
        <w:tab/>
        <w:tab/>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pStyle w:val="Heading4"/>
        <w:numPr>
          <w:ilvl w:val="0"/>
          <w:numId w:val="0"/>
        </w:numPr>
        <w:spacing w:before="0" w:after="120"/>
        <w:ind w:hanging="0" w:start="0"/>
        <w:rPr>
          <w:sz w:val="20"/>
        </w:rPr>
      </w:pPr>
      <w:r>
        <w:rPr>
          <w:sz w:val="20"/>
        </w:rPr>
        <w:t>Each Party hereby represents that it is a "forward contract merchant" within the meaning of the United States Bankruptcy Code.]</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Enron Broadband Services, L.P. ("</w:t>
      </w:r>
      <w:r>
        <w:rPr>
          <w:sz w:val="20"/>
          <w:u w:val="single"/>
        </w:rPr>
        <w:t>Party A</w:t>
      </w:r>
      <w:r>
        <w:rPr>
          <w:sz w:val="20"/>
        </w:rPr>
        <w:t>") and Dynegy Europe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4"/>
      <w:footerReference w:type="default" r:id="rId15"/>
      <w:type w:val="nextPage"/>
      <w:pgSz w:w="12240" w:h="15840"/>
      <w:pgMar w:left="720" w:right="720" w:gutter="0" w:header="720" w:top="1008" w:footer="576" w:bottom="1008"/>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r>
      <w:rPr>
        <w:rStyle w:val="PageNumber"/>
        <w:sz w:val="20"/>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/mnt/main-storage/datasets/enron-docs/doc/002ctr_dynegyeurope_.doc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r>
      <w:rPr>
        <w:rStyle w:val="PageNumber"/>
        <w:sz w:val="20"/>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/mnt/main-storage/datasets/enron-docs/doc/002ctr_dynegyeurope_.doc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r>
      <w:rPr>
        <w:rStyle w:val="PageNumber"/>
        <w:sz w:val="20"/>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/mnt/main-storage/datasets/enron-docs/doc/002ctr_dynegyeurope_.doc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18</w:t>
    </w:r>
    <w:r>
      <w:rPr>
        <w:rStyle w:val="PageNumber"/>
        <w:sz w:val="20"/>
      </w:rPr>
      <w:fldChar w:fldCharType="end"/>
    </w:r>
    <w:r>
      <w:rPr>
        <w:rStyle w:val="PageNumber"/>
        <w:sz w:val="20"/>
      </w:rPr>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/mnt/main-storage/datasets/enron-docs/doc/002ctr_dynegyeurope_.doc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18</w:t>
    </w:r>
    <w:r>
      <w:rPr>
        <w:rStyle w:val="PageNumber"/>
        <w:sz w:val="20"/>
      </w:rPr>
      <w:fldChar w:fldCharType="end"/>
    </w:r>
    <w:r>
      <w:rPr>
        <w:rStyle w:val="PageNumber"/>
        <w:sz w:val="20"/>
      </w:rPr>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/mnt/main-storage/datasets/enron-docs/doc/002ctr_dynegyeurope_.doc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18</w:t>
    </w:r>
    <w:r>
      <w:rPr>
        <w:rStyle w:val="PageNumber"/>
        <w:sz w:val="20"/>
      </w:rPr>
      <w:fldChar w:fldCharType="end"/>
    </w:r>
    <w:r>
      <w:rPr>
        <w:rStyle w:val="PageNumber"/>
        <w:sz w:val="20"/>
      </w:rPr>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/mnt/main-storage/datasets/enron-docs/doc/002ctr_dynegyeurope_.doc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09/14/01</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09/14/01</w:t>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09/14/01</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2001-09-14T19:09:00Z</dcterms:created>
  <dc:creator>WordProcessing</dc:creator>
  <dc:description/>
  <dc:language>en-CA</dc:language>
  <cp:lastModifiedBy>mheard</cp:lastModifiedBy>
  <cp:lastPrinted>2001-08-14T11:02:00Z</cp:lastPrinted>
  <dcterms:modified xsi:type="dcterms:W3CDTF">2001-09-14T19:42:00Z</dcterms:modified>
  <cp:revision>3</cp:revision>
  <dc:subject/>
  <dc:title>  </dc:title>
</cp:coreProperties>
</file>