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July 3,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Procter &amp; Gamble Manufactura, S. de R.L. de C.V.</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Poniente 146 No. 730, Industrial Vallejo</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02300 México, D.F.</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Ms. Margarita del C. Gutierrez</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Procter &amp; Gamble Manufactura, S. de R.L. de C.V. (the "Disclosing Party") is prepared to furnish Enron North America Corp. ("Enron") with financial statement information in connection with a potential transaction involving one or more swap, option or other financially-settled derivative transactions or options (the "Transaction"), which financial statement information is confidential or otherwise generally not available to the public (such financial statement information being hereinafter referred to as the "Confidential Information").  The term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any type of consequential damages, including punitive or exemplary damages, the parties hereby waiving their right, if any, to recover any type of consequential damages, including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2"/>
          <w:u w:val="single"/>
        </w:rPr>
        <w:tab/>
      </w:r>
      <w:r>
        <w:rPr>
          <w:b/>
          <w:sz w:val="22"/>
        </w:rPr>
        <w:t>PROCTER &amp; GAMBLE MANUFACTURA, S. DE R.L. DE C.V.</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2"/>
        </w:rPr>
      </w:pPr>
      <w:r>
        <w:rPr>
          <w:b/>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/mnt/main-storage/datasets/enron-docs/doc/002ca_p_gmanufactura_-1fe43a99828562e6176458c67d4d29dbf7906715febebfdf71c4c0c55083cb8d.doc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/mnt/main-storage/datasets/enron-docs/doc/002ca_p_gmanufactura_-1fe43a99828562e6176458c67d4d29dbf7906715febebfdf71c4c0c55083cb8d.doc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Procter &amp; Gamble Manufactura, S. de R.L. de C.V.</w:t>
    </w:r>
  </w:p>
  <w:p>
    <w:pPr>
      <w:pStyle w:val="Header"/>
      <w:rPr/>
    </w:pPr>
    <w:r>
      <w:rPr/>
      <w:t>July 3,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2001-07-02T19:24:00Z</dcterms:created>
  <dc:creator>mheard</dc:creator>
  <dc:description/>
  <dc:language>en-CA</dc:language>
  <cp:lastModifiedBy>mheard</cp:lastModifiedBy>
  <cp:lastPrinted>2001-07-02T17:34:00Z</cp:lastPrinted>
  <dcterms:modified xsi:type="dcterms:W3CDTF">2001-07-02T20:04:00Z</dcterms:modified>
  <cp:revision>5</cp:revision>
  <dc:subject/>
  <dc:title>October 14, 1999</dc:title>
</cp:coreProperties>
</file>