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center"/>
        <w:rPr/>
      </w:pPr>
      <w:r>
        <w:rPr/>
        <w:t>[ECT LETTERHEAD]</w:t>
      </w:r>
    </w:p>
    <w:p>
      <w:pPr>
        <w:pStyle w:val="Normal"/>
        <w:jc w:val="center"/>
        <w:rPr/>
      </w:pPr>
      <w:r>
        <w:rPr/>
      </w:r>
    </w:p>
    <w:p>
      <w:pPr>
        <w:pStyle w:val="Normal"/>
        <w:jc w:val="center"/>
        <w:rPr/>
      </w:pPr>
      <w:r>
        <w:rPr/>
      </w:r>
    </w:p>
    <w:p>
      <w:pPr>
        <w:pStyle w:val="Normal"/>
        <w:rPr/>
      </w:pPr>
      <w:r>
        <w:rPr>
          <w:u w:val="single"/>
        </w:rPr>
        <w:t xml:space="preserve">                            </w:t>
      </w:r>
      <w:r>
        <w:rPr/>
        <w:t>, 1999</w:t>
      </w:r>
    </w:p>
    <w:p>
      <w:pPr>
        <w:pStyle w:val="Normal"/>
        <w:rPr/>
      </w:pPr>
      <w:r>
        <w:rPr/>
      </w:r>
    </w:p>
    <w:p>
      <w:pPr>
        <w:pStyle w:val="Normal"/>
        <w:rPr/>
      </w:pPr>
      <w:r>
        <w:rPr/>
        <w:t>Saga Petroleum A.S.</w:t>
      </w:r>
    </w:p>
    <w:p>
      <w:pPr>
        <w:pStyle w:val="Normal"/>
        <w:rPr/>
      </w:pPr>
      <w:r>
        <w:rPr/>
        <w:t>Kjurboveien 16</w:t>
      </w:r>
    </w:p>
    <w:p>
      <w:pPr>
        <w:pStyle w:val="Normal"/>
        <w:rPr/>
      </w:pPr>
      <w:r>
        <w:rPr/>
        <w:t>Sanvika Norway  N-1302</w:t>
      </w:r>
    </w:p>
    <w:p>
      <w:pPr>
        <w:pStyle w:val="Normal"/>
        <w:rPr/>
      </w:pPr>
      <w:r>
        <w:rPr/>
        <w:t>Attention: _________________</w:t>
      </w:r>
    </w:p>
    <w:p>
      <w:pPr>
        <w:pStyle w:val="Normal"/>
        <w:rPr/>
      </w:pPr>
      <w:r>
        <w:rPr/>
      </w:r>
    </w:p>
    <w:p>
      <w:pPr>
        <w:pStyle w:val="Normal"/>
        <w:rPr/>
      </w:pPr>
      <w:r>
        <w:rPr/>
        <w:t>Fax No.:  90114767126601</w:t>
      </w:r>
    </w:p>
    <w:p>
      <w:pPr>
        <w:pStyle w:val="Normal"/>
        <w:rPr/>
      </w:pPr>
      <w:r>
        <w:rPr/>
        <w:t>Telephone No.:  90114767126600</w:t>
      </w:r>
    </w:p>
    <w:p>
      <w:pPr>
        <w:pStyle w:val="Normal"/>
        <w:rPr/>
      </w:pPr>
      <w:r>
        <w:rPr/>
      </w:r>
    </w:p>
    <w:p>
      <w:pPr>
        <w:pStyle w:val="Normal"/>
        <w:rPr/>
      </w:pPr>
      <w:r>
        <w:rPr/>
        <w:t>Re:</w:t>
        <w:tab/>
        <w:t>SWAP TRANSACTION ECT Contract No. _________</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Saga Petroleum A.S. (“Counterparty”) and Enron Capital &amp; Trade Resources Corp. (“ECT”) on </w:t>
      </w:r>
      <w:r>
        <w:rPr>
          <w:u w:val="single"/>
        </w:rPr>
        <w:t xml:space="preserve">                </w:t>
      </w:r>
      <w:r>
        <w:rPr/>
        <w:t>, 1999 (the “Transaction”).  This document constitutes a “Confirmation” as referred to in the ISDA Agreement specified below.  This is a Confirmation of the following Transaction entered into with you pursuant to a telephone conversation on _______________, 1999 between John Mee of ECT and Bjorn Mauritzer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ECT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ind w:hanging="1440" w:end="0"/>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and the 1991 ISDA Definitions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(II) of </w:t>
      </w:r>
      <w:r>
        <w:rPr>
          <w:u w:val="single"/>
        </w:rPr>
        <w:t>Annex A</w:t>
      </w:r>
      <w:r>
        <w:rPr/>
        <w:t>.</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Header"/>
        <w:tabs>
          <w:tab w:val="left" w:pos="720" w:leader="none"/>
          <w:tab w:val="center" w:pos="4320" w:leader="none"/>
          <w:tab w:val="right" w:pos="8640" w:leader="none"/>
        </w:tabs>
        <w:jc w:val="both"/>
        <w:rPr/>
      </w:pPr>
      <w:r>
        <w:rPr>
          <w:sz w:val="20"/>
        </w:rPr>
        <w:t>6.</w:t>
        <w:tab/>
      </w:r>
      <w:r>
        <w:rPr>
          <w:b/>
          <w:sz w:val="20"/>
          <w:u w:val="single"/>
        </w:rPr>
        <w:t>Governing Law/</w:t>
      </w:r>
      <w:r>
        <w:rPr>
          <w:sz w:val="20"/>
        </w:rPr>
        <w:tab/>
      </w:r>
      <w:r>
        <w:rPr>
          <w:b/>
          <w:sz w:val="20"/>
          <w:u w:val="single"/>
        </w:rPr>
        <w:t>Jurisdiction/Waiver of Jury Trial</w:t>
      </w:r>
      <w:r>
        <w:rPr>
          <w:b/>
          <w:sz w:val="20"/>
        </w:rPr>
        <w:t>.</w:t>
      </w:r>
      <w:r>
        <w:rPr>
          <w:sz w:val="20"/>
        </w:rPr>
        <w:t xml:space="preserve">  This Confirmation and the ISDA Agreement will be governed by and construed in accordance with the laws of the State of New York (without reference to choice of law doctrine).  Each of the parties irrevocably submits to the jurisdiction of the Supreme Court of the State of New York, County of New York, the U.S. District Court of the Southern District of New York and any appellate court or body thereto (collectively, the "New York Courts"), over any suit, action or proceeding arising out of or relating to this Agreement.  Each of the parties hereto irrevocably waives, to the fullest extent permitted by law, any objection which it may now or hereafter have to the laying of the venue of any such suit, action or proceeding brought in any such court, any claim that any such suit, action or proceeding brought in such court has been brought in an inconvenient forum and any right to which it may be entitled on account of place of residence or domicile, and further agrees that a final judgment in any such suit, action or proceeding brought in any such court shall be conclusive and binding upon such party.</w:t>
      </w:r>
    </w:p>
    <w:p>
      <w:pPr>
        <w:pStyle w:val="Header"/>
        <w:tabs>
          <w:tab w:val="left" w:pos="720" w:leader="none"/>
          <w:tab w:val="center" w:pos="4320" w:leader="none"/>
          <w:tab w:val="right" w:pos="8640" w:leader="none"/>
        </w:tabs>
        <w:jc w:val="both"/>
        <w:rPr>
          <w:b/>
          <w:sz w:val="20"/>
          <w:u w:val="single"/>
        </w:rPr>
      </w:pPr>
      <w:r>
        <w:rPr>
          <w:b/>
          <w:sz w:val="20"/>
          <w:u w:val="single"/>
        </w:rPr>
      </w:r>
    </w:p>
    <w:p>
      <w:pPr>
        <w:pStyle w:val="Header"/>
        <w:tabs>
          <w:tab w:val="left" w:pos="720" w:leader="none"/>
          <w:tab w:val="center" w:pos="4320" w:leader="none"/>
          <w:tab w:val="right" w:pos="8640" w:leader="none"/>
        </w:tabs>
        <w:jc w:val="both"/>
        <w:rPr>
          <w:sz w:val="20"/>
        </w:rPr>
      </w:pPr>
      <w:r>
        <w:rPr>
          <w:sz w:val="20"/>
        </w:rPr>
        <w:t>Each party to this Transaction hereby irrevocably waives any and all right to trial by jury with respect to any legal proceeding arising out of or relating to this Transaction contemplated hereby.</w:t>
      </w:r>
    </w:p>
    <w:p>
      <w:pPr>
        <w:pStyle w:val="Normal"/>
        <w:jc w:val="both"/>
        <w:rPr>
          <w:sz w:val="20"/>
        </w:rPr>
      </w:pPr>
      <w:r>
        <w:rPr>
          <w:sz w:val="20"/>
        </w:rPr>
      </w:r>
    </w:p>
    <w:p>
      <w:pPr>
        <w:pStyle w:val="Normal"/>
        <w:jc w:val="both"/>
        <w:rPr/>
      </w:pPr>
      <w:r>
        <w:rPr/>
        <w:t>7.</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8.</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9.</w:t>
        <w:tab/>
      </w:r>
      <w:r>
        <w:rPr>
          <w:b/>
          <w:u w:val="single"/>
        </w:rPr>
        <w:t>Agreement to Deliver Documents</w:t>
      </w:r>
      <w:r>
        <w:rPr>
          <w:b/>
        </w:rPr>
        <w:t>.</w:t>
      </w:r>
      <w:r>
        <w:rPr/>
        <w:t xml:space="preserve">  For the purpose of Section 4(a), Counterparty agrees to deliver copies of its articles of association and bylaws (or other constituent documents).</w:t>
      </w:r>
    </w:p>
    <w:p>
      <w:pPr>
        <w:pStyle w:val="Normal"/>
        <w:jc w:val="both"/>
        <w:rPr/>
      </w:pPr>
      <w:r>
        <w:rPr/>
      </w:r>
    </w:p>
    <w:p>
      <w:pPr>
        <w:pStyle w:val="Normal"/>
        <w:keepNext w:val="true"/>
        <w:jc w:val="both"/>
        <w:rPr>
          <w:b/>
        </w:rPr>
      </w:pPr>
      <w:r>
        <w:rPr/>
        <w:t>10.</w:t>
        <w:tab/>
      </w:r>
      <w:r>
        <w:rPr>
          <w:b/>
          <w:u w:val="single"/>
        </w:rPr>
        <w:t>Offices.</w:t>
      </w:r>
    </w:p>
    <w:p>
      <w:pPr>
        <w:pStyle w:val="Normal"/>
        <w:keepNext w:val="true"/>
        <w:rPr>
          <w:b/>
        </w:rPr>
      </w:pPr>
      <w:r>
        <w:rPr>
          <w:b/>
        </w:rPr>
      </w:r>
    </w:p>
    <w:p>
      <w:pPr>
        <w:pStyle w:val="Normal"/>
        <w:keepNext w:val="true"/>
        <w:jc w:val="both"/>
        <w:rPr/>
      </w:pPr>
      <w:r>
        <w:rPr/>
        <w:tab/>
        <w:t>(a)</w:t>
        <w:tab/>
        <w:t>The office of Enron Capital &amp;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Kjurboveien 16, Sanvika Norway  N-1302, Facsimile No.  90114767126601.</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SAGA PETROLEUM A.S.</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ECT</w:t>
      </w:r>
    </w:p>
    <w:p>
      <w:pPr>
        <w:pStyle w:val="Normal"/>
        <w:keepNext w:val="true"/>
        <w:jc w:val="center"/>
        <w:rPr>
          <w:b/>
        </w:rPr>
      </w:pPr>
      <w:r>
        <w:rPr>
          <w:b/>
        </w:rPr>
        <w:t>Party B:  Counterparty</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Norway.</w:t>
      </w:r>
    </w:p>
    <w:p>
      <w:pPr>
        <w:pStyle w:val="Normal"/>
        <w:spacing w:lineRule="exact" w:line="240" w:before="240" w:after="0"/>
        <w:jc w:val="both"/>
        <w:rPr/>
      </w:pPr>
      <w:r>
        <w:rPr/>
        <w:t>"</w:t>
      </w:r>
      <w:r>
        <w:rPr>
          <w:b/>
        </w:rPr>
        <w:t>Specified Jurisdiction</w:t>
      </w:r>
      <w:r>
        <w:rPr/>
        <w:t>" means, with respect to Party A, Norway.</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pPr>
      <w:r>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4"/>
      <w:footerReference w:type="default" r:id="rId5"/>
      <w:footerReference w:type="first" r:id="rId6"/>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/mnt/main-storage/datasets/enron-docs/doc/001conf-d419b702a963e1f6ba42028e2a2655da28f505d9cc10943c4f1ddbec51c50cbb.doc</w:t>
    </w:r>
    <w:r>
      <w:rPr>
        <w:rStyle w:val="PageNumber"/>
        <w:sz w:val="16"/>
      </w:rPr>
      <w:fldChar w:fldCharType="end"/>
    </w:r>
  </w:p>
  <w:p>
    <w:pPr>
      <w:pStyle w:val="Footer"/>
      <w:rPr>
        <w:rStyle w:val="PageNumber"/>
        <w:sz w:val="16"/>
      </w:rPr>
    </w:pPr>
    <w:r>
      <w:rPr/>
    </w:r>
  </w:p>
  <w:p>
    <w:pPr>
      <w:pStyle w:val="Footer"/>
      <w:rPr>
        <w:rStyle w:val="PageNumber"/>
        <w:sz w:val="20"/>
      </w:rPr>
    </w:pPr>
    <w:r>
      <w:rPr/>
    </w:r>
  </w:p>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Norma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/mnt/main-storage/datasets/enron-docs/doc/001conf-d419b702a963e1f6ba42028e2a2655da28f505d9cc10943c4f1ddbec51c50cbb.doc</w:t>
    </w:r>
    <w:r>
      <w:rPr>
        <w:sz w:val="12"/>
      </w:rPr>
      <w:fldChar w:fldCharType="end"/>
    </w:r>
  </w:p>
  <w:p>
    <w:pPr>
      <w:pStyle w:val="Footer"/>
      <w:rPr>
        <w:sz w:val="12"/>
      </w:rPr>
    </w:pPr>
    <w:r>
      <w:rPr>
        <w:sz w:val="12"/>
      </w:rPr>
      <w:t>06/08/99</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/mnt/main-storage/datasets/enron-docs/doc/001conf-d419b702a963e1f6ba42028e2a2655da28f505d9cc10943c4f1ddbec51c50cbb.doc</w:t>
    </w:r>
    <w:r>
      <w:rPr>
        <w:rStyle w:val="PageNumber"/>
        <w:sz w:val="16"/>
      </w:rPr>
      <w:fldChar w:fldCharType="end"/>
    </w:r>
  </w:p>
  <w:p>
    <w:pPr>
      <w:pStyle w:val="Footer"/>
      <w:rPr>
        <w:rStyle w:val="PageNumber"/>
        <w:sz w:val="16"/>
      </w:rPr>
    </w:pPr>
    <w:r>
      <w:rPr/>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1999-06-07T13:53:00Z</dcterms:created>
  <dc:creator>ECT</dc:creator>
  <dc:description/>
  <dc:language>en-CA</dc:language>
  <cp:lastModifiedBy>tjones</cp:lastModifiedBy>
  <cp:lastPrinted>1999-06-08T14:33:00Z</cp:lastPrinted>
  <dcterms:modified xsi:type="dcterms:W3CDTF">1999-06-10T12:56:00Z</dcterms:modified>
  <cp:revision>9</cp:revision>
  <dc:subject/>
  <dc:title>“DEEMED ISDA” CONFIRMATION</dc:title>
</cp:coreProperties>
</file>