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0"/>
        </w:rPr>
      </w:pPr>
      <w:r>
        <w:rPr>
          <w:b/>
          <w:sz w:val="20"/>
          <w:u w:val="single"/>
        </w:rPr>
        <w:t>FIRST AMENDMENT TO ISDA MASTER AGREEMENT</w:t>
      </w:r>
    </w:p>
    <w:p>
      <w:pPr>
        <w:pStyle w:val="Normal"/>
        <w:rPr>
          <w:b/>
          <w:sz w:val="20"/>
        </w:rPr>
      </w:pPr>
      <w:r>
        <w:rPr>
          <w:b/>
          <w:sz w:val="20"/>
        </w:rPr>
      </w:r>
    </w:p>
    <w:p>
      <w:pPr>
        <w:pStyle w:val="Normal"/>
        <w:rPr>
          <w:sz w:val="20"/>
        </w:rPr>
      </w:pPr>
      <w:r>
        <w:rPr>
          <w:sz w:val="20"/>
        </w:rPr>
      </w:r>
    </w:p>
    <w:p>
      <w:pPr>
        <w:pStyle w:val="Normal"/>
        <w:jc w:val="both"/>
        <w:rPr>
          <w:sz w:val="20"/>
        </w:rPr>
      </w:pPr>
      <w:r>
        <w:rPr>
          <w:sz w:val="20"/>
        </w:rPr>
        <w:tab/>
        <w:t>This First Amendment to ISDA Master Agreement dated as of July ___, 2001 (the “Amendment”), is made and entered into by and between ConAgra Energy Services, Inc. (“Counterparty”) and Enron North America Corp. (formerly known as Enron Capital &amp; Trade Resources Corp.) (“ENA”).</w:t>
      </w:r>
    </w:p>
    <w:p>
      <w:pPr>
        <w:pStyle w:val="Normal"/>
        <w:jc w:val="both"/>
        <w:rPr>
          <w:sz w:val="20"/>
        </w:rPr>
      </w:pPr>
      <w:r>
        <w:rPr>
          <w:sz w:val="20"/>
        </w:rPr>
      </w:r>
    </w:p>
    <w:p>
      <w:pPr>
        <w:pStyle w:val="Normal"/>
        <w:jc w:val="both"/>
        <w:rPr>
          <w:sz w:val="20"/>
        </w:rPr>
      </w:pPr>
      <w:r>
        <w:rPr>
          <w:sz w:val="20"/>
        </w:rPr>
        <w:tab/>
        <w:t>WHEREAS, Counterparty and ENA entered into that certain ISDA Master Agreement dated as of February 7, 1996 (the “Master Agreement”);</w:t>
      </w:r>
    </w:p>
    <w:p>
      <w:pPr>
        <w:pStyle w:val="Normal"/>
        <w:jc w:val="both"/>
        <w:rPr>
          <w:sz w:val="20"/>
        </w:rPr>
      </w:pPr>
      <w:r>
        <w:rPr>
          <w:sz w:val="20"/>
        </w:rPr>
      </w:r>
    </w:p>
    <w:p>
      <w:pPr>
        <w:pStyle w:val="Normal"/>
        <w:jc w:val="both"/>
        <w:rPr>
          <w:sz w:val="20"/>
        </w:rPr>
      </w:pPr>
      <w:r>
        <w:rPr>
          <w:sz w:val="20"/>
        </w:rPr>
        <w:tab/>
        <w:t>WHEREAS, the parties hereto desire to amend the Master Agreement as provided herein;</w:t>
      </w:r>
    </w:p>
    <w:p>
      <w:pPr>
        <w:pStyle w:val="Normal"/>
        <w:jc w:val="both"/>
        <w:rPr>
          <w:sz w:val="20"/>
        </w:rPr>
      </w:pPr>
      <w:r>
        <w:rPr>
          <w:sz w:val="20"/>
        </w:rPr>
      </w:r>
    </w:p>
    <w:p>
      <w:pPr>
        <w:pStyle w:val="Normal"/>
        <w:jc w:val="both"/>
        <w:rPr>
          <w:sz w:val="20"/>
        </w:rPr>
      </w:pPr>
      <w:r>
        <w:rPr>
          <w:sz w:val="20"/>
        </w:rPr>
        <w:tab/>
        <w:t>NOW THEREFORE, for and in consideration of the agreements herein made and other good and valuable consideration, the parties hereto agree as follows:</w:t>
      </w:r>
    </w:p>
    <w:p>
      <w:pPr>
        <w:pStyle w:val="Normal"/>
        <w:jc w:val="both"/>
        <w:rPr>
          <w:sz w:val="20"/>
        </w:rPr>
      </w:pPr>
      <w:r>
        <w:rPr>
          <w:sz w:val="20"/>
        </w:rPr>
      </w:r>
    </w:p>
    <w:p>
      <w:pPr>
        <w:pStyle w:val="Normal"/>
        <w:jc w:val="both"/>
        <w:rPr>
          <w:sz w:val="20"/>
        </w:rPr>
      </w:pPr>
      <w:r>
        <w:rPr>
          <w:sz w:val="20"/>
        </w:rPr>
      </w:r>
    </w:p>
    <w:p>
      <w:pPr>
        <w:pStyle w:val="Normal"/>
        <w:jc w:val="center"/>
        <w:rPr>
          <w:sz w:val="20"/>
        </w:rPr>
      </w:pPr>
      <w:r>
        <w:rPr>
          <w:b/>
          <w:sz w:val="20"/>
        </w:rPr>
        <w:t xml:space="preserve">I.  </w:t>
      </w:r>
      <w:r>
        <w:rPr>
          <w:b/>
          <w:sz w:val="20"/>
          <w:u w:val="single"/>
        </w:rPr>
        <w:t>AMENDMENTS</w:t>
      </w:r>
    </w:p>
    <w:p>
      <w:pPr>
        <w:pStyle w:val="Normal"/>
        <w:jc w:val="both"/>
        <w:rPr>
          <w:sz w:val="20"/>
        </w:rPr>
      </w:pPr>
      <w:r>
        <w:rPr>
          <w:sz w:val="20"/>
        </w:rPr>
      </w:r>
    </w:p>
    <w:p>
      <w:pPr>
        <w:pStyle w:val="Normal"/>
        <w:jc w:val="both"/>
        <w:rPr>
          <w:sz w:val="20"/>
        </w:rPr>
      </w:pPr>
      <w:r>
        <w:rPr>
          <w:sz w:val="20"/>
        </w:rPr>
        <w:tab/>
        <w:t>The Master Agreement is hereby amended as follows:</w:t>
      </w:r>
    </w:p>
    <w:p>
      <w:pPr>
        <w:pStyle w:val="Normal"/>
        <w:jc w:val="both"/>
        <w:rPr>
          <w:sz w:val="20"/>
        </w:rPr>
      </w:pPr>
      <w:r>
        <w:rPr>
          <w:sz w:val="20"/>
        </w:rPr>
      </w:r>
    </w:p>
    <w:p>
      <w:pPr>
        <w:pStyle w:val="Normal"/>
        <w:numPr>
          <w:ilvl w:val="0"/>
          <w:numId w:val="2"/>
        </w:numPr>
        <w:tabs>
          <w:tab w:val="left" w:pos="720" w:leader="none"/>
        </w:tabs>
        <w:ind w:hanging="0" w:start="0" w:end="0"/>
        <w:jc w:val="both"/>
        <w:rPr>
          <w:sz w:val="20"/>
        </w:rPr>
      </w:pPr>
      <w:r>
        <w:rPr>
          <w:sz w:val="20"/>
        </w:rPr>
        <w:t>Parts 3, 4 and 5 of the Schedule to the Master Agreement are amended to reflect certain modifications, alterations and revisions as set forth below:</w:t>
      </w:r>
    </w:p>
    <w:p>
      <w:pPr>
        <w:pStyle w:val="Normal"/>
        <w:jc w:val="both"/>
        <w:rPr>
          <w:sz w:val="20"/>
        </w:rPr>
      </w:pPr>
      <w:r>
        <w:rPr>
          <w:sz w:val="20"/>
        </w:rPr>
      </w:r>
    </w:p>
    <w:p>
      <w:pPr>
        <w:pStyle w:val="Normal"/>
        <w:numPr>
          <w:ilvl w:val="1"/>
          <w:numId w:val="2"/>
        </w:numPr>
        <w:tabs>
          <w:tab w:val="clear" w:pos="720"/>
        </w:tabs>
        <w:ind w:hanging="0" w:start="0" w:end="0"/>
        <w:jc w:val="both"/>
        <w:rPr>
          <w:sz w:val="20"/>
        </w:rPr>
      </w:pPr>
      <w:r>
        <w:rPr>
          <w:sz w:val="20"/>
        </w:rPr>
        <w:t>Part 3(a) of the Schedule is amended to add the following as the first sentence thereof:</w:t>
      </w:r>
    </w:p>
    <w:p>
      <w:pPr>
        <w:pStyle w:val="Normal"/>
        <w:jc w:val="both"/>
        <w:rPr>
          <w:sz w:val="20"/>
        </w:rPr>
      </w:pPr>
      <w:r>
        <w:rPr>
          <w:sz w:val="20"/>
        </w:rPr>
      </w:r>
    </w:p>
    <w:p>
      <w:pPr>
        <w:pStyle w:val="Normal"/>
        <w:ind w:start="720" w:end="0"/>
        <w:jc w:val="both"/>
        <w:rPr>
          <w:sz w:val="20"/>
        </w:rPr>
      </w:pPr>
      <w:r>
        <w:rPr>
          <w:sz w:val="20"/>
        </w:rPr>
        <w:t>“</w:t>
      </w:r>
      <w:r>
        <w:rPr>
          <w:sz w:val="20"/>
        </w:rPr>
        <w:t>Section 10(a) is hereby amended to delete the following phrase from the second and third line thereof:  “(except that a notice or other communication under Section 5 or 6 may not be given by facsimile transmission or electronic messaging system)”.”</w:t>
      </w:r>
    </w:p>
    <w:p>
      <w:pPr>
        <w:pStyle w:val="Normal"/>
        <w:jc w:val="both"/>
        <w:rPr>
          <w:sz w:val="20"/>
        </w:rPr>
      </w:pPr>
      <w:r>
        <w:rPr>
          <w:sz w:val="20"/>
        </w:rPr>
      </w:r>
    </w:p>
    <w:p>
      <w:pPr>
        <w:pStyle w:val="Normal"/>
        <w:numPr>
          <w:ilvl w:val="1"/>
          <w:numId w:val="2"/>
        </w:numPr>
        <w:tabs>
          <w:tab w:val="left" w:pos="720" w:leader="none"/>
        </w:tabs>
        <w:ind w:hanging="0" w:start="0" w:end="0"/>
        <w:jc w:val="both"/>
        <w:rPr>
          <w:sz w:val="20"/>
        </w:rPr>
      </w:pPr>
      <w:r>
        <w:rPr>
          <w:sz w:val="20"/>
        </w:rPr>
        <w:t>Part 4(d)(f) of the Schedule is hereby deleted in its entirety and replaced with the following:</w:t>
      </w:r>
    </w:p>
    <w:p>
      <w:pPr>
        <w:pStyle w:val="Normal"/>
        <w:jc w:val="both"/>
        <w:rPr>
          <w:sz w:val="20"/>
        </w:rPr>
      </w:pPr>
      <w:r>
        <w:rPr>
          <w:sz w:val="20"/>
        </w:rPr>
      </w:r>
    </w:p>
    <w:p>
      <w:pPr>
        <w:pStyle w:val="Normal"/>
        <w:ind w:start="720" w:end="0"/>
        <w:jc w:val="both"/>
        <w:rPr/>
      </w:pPr>
      <w:r>
        <w:rPr>
          <w:sz w:val="20"/>
        </w:rPr>
        <w:t>“</w:t>
      </w:r>
      <w:r>
        <w:rPr>
          <w:sz w:val="20"/>
        </w:rPr>
        <w:t>(f)</w:t>
        <w:tab/>
      </w:r>
      <w:r>
        <w:rPr>
          <w:b/>
          <w:bCs/>
          <w:sz w:val="20"/>
        </w:rPr>
        <w:t>Eligibility.</w:t>
      </w:r>
      <w:r>
        <w:rPr>
          <w:sz w:val="20"/>
        </w:rPr>
        <w:t xml:space="preserve">  (i) It constitutes an “eligible contract participant” as such term is defined in the Commodity Exchange Act, as amended 7 U.S.C. §1a(12) and (ii) it constitutes an “eligible” commercial entity” as such term is defined in the Commodity Exchange Act, as amended 7.U.S.C. §1a(11).”</w:t>
      </w:r>
    </w:p>
    <w:p>
      <w:pPr>
        <w:pStyle w:val="Normal"/>
        <w:ind w:start="720" w:end="0"/>
        <w:jc w:val="both"/>
        <w:rPr>
          <w:sz w:val="20"/>
        </w:rPr>
      </w:pPr>
      <w:r>
        <w:rPr>
          <w:sz w:val="20"/>
        </w:rPr>
      </w:r>
    </w:p>
    <w:p>
      <w:pPr>
        <w:pStyle w:val="Normal"/>
        <w:numPr>
          <w:ilvl w:val="1"/>
          <w:numId w:val="2"/>
        </w:numPr>
        <w:tabs>
          <w:tab w:val="left" w:pos="720" w:leader="none"/>
          <w:tab w:val="left" w:pos="1440" w:leader="none"/>
        </w:tabs>
        <w:ind w:hanging="0" w:start="0" w:end="0"/>
        <w:jc w:val="both"/>
        <w:rPr>
          <w:sz w:val="20"/>
        </w:rPr>
      </w:pPr>
      <w:r>
        <w:rPr>
          <w:sz w:val="20"/>
        </w:rPr>
        <w:t xml:space="preserve">Part 4(j) of the Schedule entitled </w:t>
      </w:r>
      <w:r>
        <w:rPr>
          <w:b/>
          <w:bCs/>
          <w:sz w:val="20"/>
        </w:rPr>
        <w:t>“Setoff”</w:t>
      </w:r>
      <w:r>
        <w:rPr>
          <w:sz w:val="20"/>
        </w:rPr>
        <w:t xml:space="preserve"> is amended to delete the opening phrase “Without affecting or prejudicing the provisions of this Agreement requiring the calculation and payment of certain net payment amounts on Scheduled Payment Dates, all payments will be made without setoff or counterclaim; </w:t>
      </w:r>
      <w:r>
        <w:rPr>
          <w:sz w:val="20"/>
          <w:u w:val="single"/>
        </w:rPr>
        <w:t>provided</w:t>
      </w:r>
      <w:r>
        <w:rPr>
          <w:sz w:val="20"/>
        </w:rPr>
        <w:t xml:space="preserve">, </w:t>
      </w:r>
      <w:r>
        <w:rPr>
          <w:sz w:val="20"/>
          <w:u w:val="single"/>
        </w:rPr>
        <w:t>however</w:t>
      </w:r>
      <w:r>
        <w:rPr>
          <w:sz w:val="20"/>
        </w:rPr>
        <w:t>, that” and to change the word “upon” which immediately follows to “Upon”.</w:t>
      </w:r>
    </w:p>
    <w:p>
      <w:pPr>
        <w:pStyle w:val="Normal"/>
        <w:jc w:val="both"/>
        <w:rPr>
          <w:sz w:val="20"/>
        </w:rPr>
      </w:pPr>
      <w:r>
        <w:rPr>
          <w:sz w:val="20"/>
        </w:rPr>
      </w:r>
    </w:p>
    <w:p>
      <w:pPr>
        <w:pStyle w:val="Normal"/>
        <w:numPr>
          <w:ilvl w:val="1"/>
          <w:numId w:val="2"/>
        </w:numPr>
        <w:tabs>
          <w:tab w:val="left" w:pos="720" w:leader="none"/>
        </w:tabs>
        <w:ind w:hanging="0" w:start="0" w:end="0"/>
        <w:jc w:val="both"/>
        <w:rPr>
          <w:sz w:val="20"/>
        </w:rPr>
      </w:pPr>
      <w:r>
        <w:rPr>
          <w:sz w:val="20"/>
        </w:rPr>
        <w:t>Part 4(o) of the Schedule is amended by adding the words “and genuine pre-estimate and” before the word “approximation” in the last line thereof.</w:t>
      </w:r>
    </w:p>
    <w:p>
      <w:pPr>
        <w:pStyle w:val="Normal"/>
        <w:jc w:val="both"/>
        <w:rPr>
          <w:sz w:val="20"/>
        </w:rPr>
      </w:pPr>
      <w:r>
        <w:rPr>
          <w:sz w:val="20"/>
        </w:rPr>
      </w:r>
    </w:p>
    <w:p>
      <w:pPr>
        <w:pStyle w:val="Normal"/>
        <w:numPr>
          <w:ilvl w:val="1"/>
          <w:numId w:val="2"/>
        </w:numPr>
        <w:tabs>
          <w:tab w:val="left" w:pos="720" w:leader="none"/>
        </w:tabs>
        <w:ind w:hanging="0" w:start="0" w:end="0"/>
        <w:jc w:val="both"/>
        <w:rPr>
          <w:sz w:val="20"/>
        </w:rPr>
      </w:pPr>
      <w:r>
        <w:rPr>
          <w:sz w:val="20"/>
        </w:rPr>
        <w:t>Part 4(p) is amended by replacing clause (iv) therein with “as may be furnished to the disclosing party’s Affiliates, and to each such person’s auditors, attorneys, advisors or lenders which are required to keep the information that is disclosed in confidence.”</w:t>
      </w:r>
    </w:p>
    <w:p>
      <w:pPr>
        <w:pStyle w:val="Normal"/>
        <w:jc w:val="both"/>
        <w:rPr>
          <w:sz w:val="20"/>
        </w:rPr>
      </w:pPr>
      <w:r>
        <w:rPr>
          <w:sz w:val="20"/>
        </w:rPr>
      </w:r>
    </w:p>
    <w:p>
      <w:pPr>
        <w:pStyle w:val="Normal"/>
        <w:numPr>
          <w:ilvl w:val="1"/>
          <w:numId w:val="2"/>
        </w:numPr>
        <w:tabs>
          <w:tab w:val="left" w:pos="720" w:leader="none"/>
        </w:tabs>
        <w:ind w:hanging="0" w:start="0" w:end="0"/>
        <w:jc w:val="both"/>
        <w:rPr>
          <w:sz w:val="20"/>
        </w:rPr>
      </w:pPr>
      <w:r>
        <w:rPr>
          <w:sz w:val="20"/>
        </w:rPr>
        <w:t>Part 4 is hereby amended to add the following at the end thereof:</w:t>
      </w:r>
    </w:p>
    <w:p>
      <w:pPr>
        <w:pStyle w:val="Normal"/>
        <w:jc w:val="both"/>
        <w:rPr>
          <w:sz w:val="20"/>
        </w:rPr>
      </w:pPr>
      <w:r>
        <w:rPr>
          <w:sz w:val="20"/>
        </w:rPr>
      </w:r>
    </w:p>
    <w:p>
      <w:pPr>
        <w:pStyle w:val="Normal"/>
        <w:ind w:start="720" w:end="0"/>
        <w:jc w:val="both"/>
        <w:rPr/>
      </w:pPr>
      <w:r>
        <w:rPr>
          <w:sz w:val="20"/>
          <w:szCs w:val="22"/>
        </w:rPr>
        <w:t>“</w:t>
      </w:r>
      <w:r>
        <w:rPr>
          <w:sz w:val="20"/>
          <w:szCs w:val="22"/>
        </w:rPr>
        <w:t>(s)</w:t>
        <w:tab/>
      </w:r>
      <w:r>
        <w:rPr>
          <w:b/>
          <w:bCs/>
          <w:sz w:val="20"/>
          <w:szCs w:val="22"/>
        </w:rPr>
        <w:t>Severability.</w:t>
      </w:r>
      <w:r>
        <w:rPr>
          <w:sz w:val="20"/>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0"/>
          <w:szCs w:val="22"/>
          <w:u w:val="single"/>
        </w:rPr>
        <w:t>provided</w:t>
      </w:r>
      <w:r>
        <w:rPr>
          <w:sz w:val="20"/>
          <w:szCs w:val="22"/>
        </w:rPr>
        <w:t xml:space="preserve">, </w:t>
      </w:r>
      <w:r>
        <w:rPr>
          <w:sz w:val="20"/>
          <w:szCs w:val="22"/>
          <w:u w:val="single"/>
        </w:rPr>
        <w:t>however</w:t>
      </w:r>
      <w:r>
        <w:rPr>
          <w:sz w:val="20"/>
          <w:szCs w:val="22"/>
        </w:rPr>
        <w:t>, that this severability provision shall not be applicable if any provision of Section 1, 2, 5 or 6 (or any definition or provision in Section 12 to the extent it relates to, or is used in or in connection with any such Section) shall be so held to be invalid or unenforceable.”</w:t>
      </w:r>
    </w:p>
    <w:p>
      <w:pPr>
        <w:pStyle w:val="Normal"/>
        <w:ind w:start="720" w:end="0"/>
        <w:jc w:val="both"/>
        <w:rPr>
          <w:sz w:val="20"/>
          <w:szCs w:val="22"/>
        </w:rPr>
      </w:pPr>
      <w:r>
        <w:rPr>
          <w:sz w:val="20"/>
          <w:szCs w:val="22"/>
        </w:rPr>
      </w:r>
    </w:p>
    <w:p>
      <w:pPr>
        <w:pStyle w:val="Normal"/>
        <w:numPr>
          <w:ilvl w:val="1"/>
          <w:numId w:val="2"/>
        </w:numPr>
        <w:tabs>
          <w:tab w:val="left" w:pos="720" w:leader="none"/>
        </w:tabs>
        <w:ind w:hanging="0" w:start="0" w:end="0"/>
        <w:jc w:val="both"/>
        <w:rPr>
          <w:sz w:val="20"/>
          <w:szCs w:val="22"/>
        </w:rPr>
      </w:pPr>
      <w:r>
        <w:rPr>
          <w:sz w:val="20"/>
          <w:szCs w:val="22"/>
        </w:rPr>
        <w:t>Part 5(a) of the Schedule is hereby deleted in its entirety and replaced with the following:</w:t>
      </w:r>
    </w:p>
    <w:p>
      <w:pPr>
        <w:pStyle w:val="Normal"/>
        <w:jc w:val="both"/>
        <w:rPr>
          <w:sz w:val="20"/>
          <w:szCs w:val="22"/>
        </w:rPr>
      </w:pPr>
      <w:r>
        <w:rPr>
          <w:sz w:val="20"/>
          <w:szCs w:val="22"/>
        </w:rPr>
      </w:r>
    </w:p>
    <w:p>
      <w:pPr>
        <w:pStyle w:val="Normal"/>
        <w:ind w:start="720" w:end="0"/>
        <w:jc w:val="both"/>
        <w:rPr/>
      </w:pPr>
      <w:r>
        <w:rPr>
          <w:sz w:val="20"/>
        </w:rPr>
        <w:t>“</w:t>
      </w:r>
      <w:r>
        <w:rPr>
          <w:sz w:val="20"/>
        </w:rPr>
        <w:t>(a)</w:t>
        <w:tab/>
      </w:r>
      <w:r>
        <w:rPr>
          <w:sz w:val="20"/>
          <w:szCs w:val="22"/>
        </w:rPr>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5 that are not otherwise defined shall have the meanings given to them in the Commodity Definitions.”</w:t>
      </w:r>
    </w:p>
    <w:p>
      <w:pPr>
        <w:pStyle w:val="Normal"/>
        <w:ind w:start="720" w:end="0"/>
        <w:jc w:val="both"/>
        <w:rPr>
          <w:sz w:val="20"/>
          <w:szCs w:val="22"/>
        </w:rPr>
      </w:pPr>
      <w:r>
        <w:rPr>
          <w:sz w:val="20"/>
          <w:szCs w:val="22"/>
        </w:rPr>
      </w:r>
    </w:p>
    <w:p>
      <w:pPr>
        <w:pStyle w:val="BodyText"/>
        <w:numPr>
          <w:ilvl w:val="1"/>
          <w:numId w:val="2"/>
        </w:numPr>
        <w:tabs>
          <w:tab w:val="left" w:pos="720" w:leader="none"/>
        </w:tabs>
        <w:ind w:hanging="0" w:start="0" w:end="0"/>
        <w:rPr>
          <w:sz w:val="20"/>
        </w:rPr>
      </w:pPr>
      <w:r>
        <w:rPr>
          <w:sz w:val="20"/>
        </w:rPr>
        <w:t>Part 5(f)(iii) of the Schedule is hereby amended to delete the reference to “Section 7.5(c)(ii)” and replace it with “Section 7.5(c)(iv)”</w:t>
      </w:r>
    </w:p>
    <w:p>
      <w:pPr>
        <w:pStyle w:val="Normal"/>
        <w:jc w:val="both"/>
        <w:rPr>
          <w:sz w:val="20"/>
        </w:rPr>
      </w:pPr>
      <w:r>
        <w:rPr>
          <w:sz w:val="20"/>
        </w:rPr>
      </w:r>
    </w:p>
    <w:p>
      <w:pPr>
        <w:pStyle w:val="Normal"/>
        <w:numPr>
          <w:ilvl w:val="1"/>
          <w:numId w:val="2"/>
        </w:numPr>
        <w:tabs>
          <w:tab w:val="left" w:pos="720" w:leader="none"/>
        </w:tabs>
        <w:ind w:hanging="0" w:start="0" w:end="0"/>
        <w:jc w:val="both"/>
        <w:rPr>
          <w:sz w:val="20"/>
        </w:rPr>
      </w:pPr>
      <w:r>
        <w:rPr>
          <w:sz w:val="20"/>
        </w:rPr>
        <w:t>Part 5(f)(iv) of the Schedule is hereby deleted in its entirety and replaced with the following:</w:t>
      </w:r>
    </w:p>
    <w:p>
      <w:pPr>
        <w:pStyle w:val="Normal"/>
        <w:jc w:val="both"/>
        <w:rPr>
          <w:sz w:val="20"/>
        </w:rPr>
      </w:pPr>
      <w:r>
        <w:rPr>
          <w:sz w:val="20"/>
        </w:rPr>
      </w:r>
    </w:p>
    <w:p>
      <w:pPr>
        <w:pStyle w:val="Normal"/>
        <w:ind w:hanging="720" w:start="1440" w:end="0"/>
        <w:jc w:val="both"/>
        <w:rPr/>
      </w:pPr>
      <w:r>
        <w:rPr>
          <w:sz w:val="20"/>
          <w:szCs w:val="22"/>
        </w:rPr>
        <w:t>“</w:t>
      </w:r>
      <w:r>
        <w:rPr>
          <w:sz w:val="20"/>
          <w:szCs w:val="22"/>
        </w:rPr>
        <w:t>(iv)</w:t>
        <w:tab/>
        <w:t xml:space="preserve">“Fallback Reference Dealers”; </w:t>
      </w:r>
      <w:r>
        <w:rPr>
          <w:sz w:val="20"/>
          <w:szCs w:val="22"/>
          <w:u w:val="single"/>
        </w:rPr>
        <w:t>provided however</w:t>
      </w:r>
      <w:r>
        <w:rPr>
          <w:sz w:val="20"/>
          <w:szCs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start="720" w:end="0"/>
        <w:jc w:val="both"/>
        <w:rPr>
          <w:sz w:val="20"/>
          <w:szCs w:val="22"/>
        </w:rPr>
      </w:pPr>
      <w:r>
        <w:rPr>
          <w:sz w:val="20"/>
          <w:szCs w:val="22"/>
        </w:rPr>
      </w:r>
    </w:p>
    <w:p>
      <w:pPr>
        <w:pStyle w:val="Normal"/>
        <w:numPr>
          <w:ilvl w:val="1"/>
          <w:numId w:val="2"/>
        </w:numPr>
        <w:tabs>
          <w:tab w:val="left" w:pos="720" w:leader="none"/>
        </w:tabs>
        <w:ind w:hanging="0" w:start="0" w:end="0"/>
        <w:jc w:val="both"/>
        <w:rPr>
          <w:sz w:val="20"/>
        </w:rPr>
      </w:pPr>
      <w:r>
        <w:rPr>
          <w:sz w:val="20"/>
        </w:rPr>
        <w:t>Part 5 of the Schedule is hereby amended by adding the following at the end thereof:</w:t>
      </w:r>
    </w:p>
    <w:p>
      <w:pPr>
        <w:pStyle w:val="Normal"/>
        <w:jc w:val="both"/>
        <w:rPr>
          <w:sz w:val="20"/>
        </w:rPr>
      </w:pPr>
      <w:r>
        <w:rPr>
          <w:sz w:val="20"/>
        </w:rPr>
      </w:r>
    </w:p>
    <w:p>
      <w:pPr>
        <w:pStyle w:val="BodyTextIndent"/>
        <w:rPr>
          <w:sz w:val="20"/>
        </w:rPr>
      </w:pPr>
      <w:r>
        <w:rPr>
          <w:sz w:val="20"/>
        </w:rPr>
        <w:t>“</w:t>
      </w:r>
      <w:r>
        <w:rPr>
          <w:sz w:val="20"/>
        </w:rPr>
        <w:t>(g)</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jc w:val="both"/>
        <w:rPr>
          <w:sz w:val="20"/>
        </w:rPr>
      </w:pPr>
      <w:r>
        <w:rPr>
          <w:sz w:val="20"/>
        </w:rPr>
      </w:r>
    </w:p>
    <w:p>
      <w:pPr>
        <w:pStyle w:val="Normal"/>
        <w:jc w:val="both"/>
        <w:rPr>
          <w:sz w:val="20"/>
        </w:rPr>
      </w:pPr>
      <w:r>
        <w:rPr>
          <w:sz w:val="20"/>
        </w:rPr>
        <w:t>B.</w:t>
        <w:tab/>
        <w:t>The definition of “Threshold” contained in Paragraph 13(b)(iv)(B) to the ISDA Credit Support Annex to the Master Agreement is hereby amended by deleting the figure for Party A of “U.S. $12,500,000” therefrom and substituting therefor the figure for Party A of “U.S. $25,000,000”.</w:t>
      </w:r>
    </w:p>
    <w:p>
      <w:pPr>
        <w:pStyle w:val="Normal"/>
        <w:jc w:val="both"/>
        <w:rPr>
          <w:sz w:val="20"/>
        </w:rPr>
      </w:pPr>
      <w:r>
        <w:rPr>
          <w:sz w:val="20"/>
        </w:rPr>
      </w:r>
    </w:p>
    <w:p>
      <w:pPr>
        <w:pStyle w:val="Normal"/>
        <w:jc w:val="center"/>
        <w:rPr>
          <w:sz w:val="20"/>
        </w:rPr>
      </w:pPr>
      <w:r>
        <w:rPr>
          <w:b/>
          <w:sz w:val="20"/>
        </w:rPr>
        <w:t xml:space="preserve">II.  </w:t>
      </w:r>
      <w:r>
        <w:rPr>
          <w:b/>
          <w:sz w:val="20"/>
          <w:u w:val="single"/>
        </w:rPr>
        <w:t>MISCELLANEOUS</w:t>
      </w:r>
    </w:p>
    <w:p>
      <w:pPr>
        <w:pStyle w:val="Normal"/>
        <w:jc w:val="both"/>
        <w:rPr>
          <w:sz w:val="20"/>
        </w:rPr>
      </w:pPr>
      <w:r>
        <w:rPr>
          <w:sz w:val="20"/>
        </w:rPr>
      </w:r>
    </w:p>
    <w:p>
      <w:pPr>
        <w:pStyle w:val="Normal"/>
        <w:jc w:val="both"/>
        <w:rPr>
          <w:sz w:val="20"/>
        </w:rPr>
      </w:pPr>
      <w:r>
        <w:rPr>
          <w:sz w:val="20"/>
        </w:rPr>
        <w:tab/>
        <w:t>This Amendment may be executed in multiple counterparts, each of which when executed and delivered shall be deemed to be an original and all of which taken together shall constitute but one and the same instrument.</w:t>
      </w:r>
    </w:p>
    <w:p>
      <w:pPr>
        <w:pStyle w:val="Normal"/>
        <w:jc w:val="both"/>
        <w:rPr>
          <w:sz w:val="20"/>
        </w:rPr>
      </w:pPr>
      <w:r>
        <w:rPr>
          <w:sz w:val="20"/>
        </w:rPr>
      </w:r>
    </w:p>
    <w:p>
      <w:pPr>
        <w:pStyle w:val="Normal"/>
        <w:jc w:val="both"/>
        <w:rPr>
          <w:sz w:val="20"/>
        </w:rPr>
      </w:pPr>
      <w:r>
        <w:rPr>
          <w:sz w:val="20"/>
        </w:rPr>
        <w:tab/>
        <w:t>Any and all references to the Master Agreement shall hereafter refer to the Master Agreement as amended by this Amendment and as the same may be amended, supplemented or modified from time to time.  The provisions of this Amendment shall apply to any and all outstanding Transactions under the Master Agreement.  Unless otherwise defined herein, capitalized terms not defined herein shall have the same meanings assigned to such terms in the agreement.</w:t>
      </w:r>
    </w:p>
    <w:p>
      <w:pPr>
        <w:pStyle w:val="Normal"/>
        <w:jc w:val="both"/>
        <w:rPr>
          <w:sz w:val="20"/>
        </w:rPr>
      </w:pPr>
      <w:r>
        <w:rPr>
          <w:sz w:val="20"/>
        </w:rPr>
      </w:r>
    </w:p>
    <w:p>
      <w:pPr>
        <w:pStyle w:val="Normal"/>
        <w:jc w:val="both"/>
        <w:rPr>
          <w:sz w:val="20"/>
        </w:rPr>
      </w:pPr>
      <w:r>
        <w:rPr>
          <w:sz w:val="20"/>
        </w:rPr>
        <w:tab/>
        <w:t>Except as amended hereby, all other terms and conditions of the Master Agreement shall remain the same and in full force and effect.</w:t>
      </w:r>
    </w:p>
    <w:p>
      <w:pPr>
        <w:pStyle w:val="Normal"/>
        <w:jc w:val="both"/>
        <w:rPr>
          <w:sz w:val="20"/>
        </w:rPr>
      </w:pPr>
      <w:r>
        <w:rPr>
          <w:sz w:val="20"/>
        </w:rPr>
      </w:r>
    </w:p>
    <w:p>
      <w:pPr>
        <w:pStyle w:val="Normal"/>
        <w:jc w:val="both"/>
        <w:rPr>
          <w:sz w:val="20"/>
        </w:rPr>
      </w:pPr>
      <w:r>
        <w:rPr>
          <w:sz w:val="20"/>
        </w:rPr>
        <w:tab/>
        <w:t>IN WITNESS WHEREOF , the parties hereto have caused this Amendment to be executed in multiple originals on July ___, 2001.</w:t>
      </w:r>
    </w:p>
    <w:p>
      <w:pPr>
        <w:pStyle w:val="Normal"/>
        <w:jc w:val="both"/>
        <w:rPr>
          <w:sz w:val="20"/>
        </w:rPr>
      </w:pPr>
      <w:r>
        <w:rPr>
          <w:sz w:val="20"/>
        </w:rPr>
      </w:r>
    </w:p>
    <w:p>
      <w:pPr>
        <w:pStyle w:val="Normal"/>
        <w:jc w:val="both"/>
        <w:rPr>
          <w:sz w:val="20"/>
        </w:rPr>
      </w:pPr>
      <w:r>
        <w:rPr>
          <w:sz w:val="20"/>
        </w:rPr>
      </w:r>
    </w:p>
    <w:tbl>
      <w:tblPr>
        <w:tblW w:w="9468" w:type="dxa"/>
        <w:jc w:val="start"/>
        <w:tblInd w:w="0" w:type="dxa"/>
        <w:tblLayout w:type="fixed"/>
        <w:tblCellMar>
          <w:top w:w="0" w:type="dxa"/>
          <w:start w:w="108" w:type="dxa"/>
          <w:bottom w:w="0" w:type="dxa"/>
          <w:end w:w="108" w:type="dxa"/>
        </w:tblCellMar>
      </w:tblPr>
      <w:tblGrid>
        <w:gridCol w:w="4338"/>
        <w:gridCol w:w="900"/>
        <w:gridCol w:w="4230"/>
      </w:tblGrid>
      <w:tr>
        <w:trPr/>
        <w:tc>
          <w:tcPr>
            <w:tcW w:w="4338" w:type="dxa"/>
            <w:tcBorders/>
          </w:tcPr>
          <w:p>
            <w:pPr>
              <w:pStyle w:val="Normal"/>
              <w:spacing w:lineRule="exact" w:line="240"/>
              <w:jc w:val="both"/>
              <w:rPr/>
            </w:pPr>
            <w:r>
              <w:rPr>
                <w:b/>
                <w:bCs/>
                <w:sz w:val="20"/>
              </w:rPr>
              <w:t>ENRON NORTH AMERICA CORP.</w:t>
            </w:r>
            <w:r>
              <w:rPr>
                <w:sz w:val="20"/>
              </w:rPr>
              <w:t>,</w:t>
            </w:r>
          </w:p>
          <w:p>
            <w:pPr>
              <w:pStyle w:val="Normal"/>
              <w:spacing w:lineRule="exact" w:line="240"/>
              <w:jc w:val="both"/>
              <w:rPr>
                <w:sz w:val="20"/>
              </w:rPr>
            </w:pPr>
            <w:r>
              <w:rPr>
                <w:sz w:val="20"/>
              </w:rPr>
              <w:t>formerly known as Enron Capital &amp; Trade</w:t>
            </w:r>
          </w:p>
          <w:p>
            <w:pPr>
              <w:pStyle w:val="Normal"/>
              <w:spacing w:lineRule="exact" w:line="240"/>
              <w:jc w:val="both"/>
              <w:rPr>
                <w:sz w:val="20"/>
              </w:rPr>
            </w:pPr>
            <w:r>
              <w:rPr>
                <w:sz w:val="20"/>
              </w:rPr>
              <w:t>Resources Corp.</w:t>
            </w:r>
          </w:p>
          <w:p>
            <w:pPr>
              <w:pStyle w:val="Normal"/>
              <w:spacing w:lineRule="exact" w:line="240"/>
              <w:jc w:val="both"/>
              <w:rPr>
                <w:sz w:val="20"/>
              </w:rPr>
            </w:pPr>
            <w:r>
              <w:rPr>
                <w:sz w:val="20"/>
              </w:rPr>
            </w:r>
          </w:p>
          <w:p>
            <w:pPr>
              <w:pStyle w:val="Normal"/>
              <w:spacing w:lineRule="exact" w:line="240"/>
              <w:jc w:val="both"/>
              <w:rPr>
                <w:sz w:val="20"/>
              </w:rPr>
            </w:pPr>
            <w:r>
              <w:rPr>
                <w:sz w:val="20"/>
              </w:rPr>
            </w:r>
          </w:p>
          <w:p>
            <w:pPr>
              <w:pStyle w:val="Normal"/>
              <w:spacing w:lineRule="exact" w:line="240"/>
              <w:jc w:val="both"/>
              <w:rPr/>
            </w:pPr>
            <w:r>
              <w:rPr>
                <w:sz w:val="20"/>
              </w:rPr>
              <w:t>By:</w:t>
              <w:tab/>
            </w:r>
            <w:r>
              <w:rPr>
                <w:sz w:val="20"/>
                <w:u w:val="single"/>
              </w:rPr>
              <w:tab/>
              <w:tab/>
              <w:tab/>
              <w:tab/>
            </w:r>
          </w:p>
          <w:p>
            <w:pPr>
              <w:pStyle w:val="Normal"/>
              <w:spacing w:lineRule="exact" w:line="240"/>
              <w:jc w:val="both"/>
              <w:rPr>
                <w:sz w:val="20"/>
              </w:rPr>
            </w:pPr>
            <w:r>
              <w:rPr>
                <w:sz w:val="20"/>
              </w:rPr>
              <w:t>Name:</w:t>
              <w:tab/>
            </w:r>
            <w:r>
              <w:rPr>
                <w:sz w:val="20"/>
                <w:u w:val="single"/>
              </w:rPr>
              <w:tab/>
              <w:tab/>
              <w:tab/>
              <w:tab/>
            </w:r>
          </w:p>
          <w:p>
            <w:pPr>
              <w:pStyle w:val="Normal"/>
              <w:spacing w:lineRule="exact" w:line="240"/>
              <w:jc w:val="both"/>
              <w:rPr>
                <w:sz w:val="20"/>
              </w:rPr>
            </w:pPr>
            <w:r>
              <w:rPr>
                <w:sz w:val="20"/>
              </w:rPr>
              <w:t>Title:</w:t>
              <w:tab/>
            </w:r>
            <w:r>
              <w:rPr>
                <w:sz w:val="20"/>
                <w:u w:val="single"/>
              </w:rPr>
              <w:tab/>
              <w:tab/>
              <w:tab/>
              <w:tab/>
            </w:r>
          </w:p>
        </w:tc>
        <w:tc>
          <w:tcPr>
            <w:tcW w:w="900" w:type="dxa"/>
            <w:tcBorders/>
          </w:tcPr>
          <w:p>
            <w:pPr>
              <w:pStyle w:val="Normal"/>
              <w:snapToGrid w:val="false"/>
              <w:spacing w:lineRule="exact" w:line="240"/>
              <w:jc w:val="both"/>
              <w:rPr>
                <w:sz w:val="20"/>
              </w:rPr>
            </w:pPr>
            <w:r>
              <w:rPr>
                <w:sz w:val="20"/>
              </w:rPr>
            </w:r>
          </w:p>
        </w:tc>
        <w:tc>
          <w:tcPr>
            <w:tcW w:w="4230" w:type="dxa"/>
            <w:tcBorders/>
          </w:tcPr>
          <w:p>
            <w:pPr>
              <w:pStyle w:val="Normal"/>
              <w:spacing w:lineRule="exact" w:line="240"/>
              <w:jc w:val="both"/>
              <w:rPr>
                <w:b/>
                <w:bCs/>
                <w:sz w:val="20"/>
              </w:rPr>
            </w:pPr>
            <w:r>
              <w:rPr>
                <w:b/>
                <w:bCs/>
                <w:sz w:val="20"/>
              </w:rPr>
              <w:t>CONAGRA ENERGY SERVICES, INC.</w:t>
            </w:r>
          </w:p>
          <w:p>
            <w:pPr>
              <w:pStyle w:val="Normal"/>
              <w:spacing w:lineRule="exact" w:line="240"/>
              <w:jc w:val="both"/>
              <w:rPr>
                <w:b/>
                <w:bCs/>
                <w:sz w:val="20"/>
              </w:rPr>
            </w:pPr>
            <w:r>
              <w:rPr>
                <w:b/>
                <w:bCs/>
                <w:sz w:val="20"/>
              </w:rPr>
            </w:r>
          </w:p>
          <w:p>
            <w:pPr>
              <w:pStyle w:val="Normal"/>
              <w:spacing w:lineRule="exact" w:line="240"/>
              <w:jc w:val="both"/>
              <w:rPr>
                <w:sz w:val="20"/>
              </w:rPr>
            </w:pPr>
            <w:r>
              <w:rPr>
                <w:sz w:val="20"/>
              </w:rPr>
            </w:r>
          </w:p>
          <w:p>
            <w:pPr>
              <w:pStyle w:val="Normal"/>
              <w:spacing w:lineRule="exact" w:line="240"/>
              <w:jc w:val="both"/>
              <w:rPr>
                <w:sz w:val="20"/>
              </w:rPr>
            </w:pPr>
            <w:r>
              <w:rPr>
                <w:sz w:val="20"/>
              </w:rPr>
            </w:r>
          </w:p>
          <w:p>
            <w:pPr>
              <w:pStyle w:val="Normal"/>
              <w:spacing w:lineRule="exact" w:line="240"/>
              <w:jc w:val="both"/>
              <w:rPr/>
            </w:pPr>
            <w:r>
              <w:rPr>
                <w:sz w:val="20"/>
              </w:rPr>
              <w:t>By:</w:t>
              <w:tab/>
            </w:r>
            <w:r>
              <w:rPr>
                <w:sz w:val="20"/>
                <w:u w:val="single"/>
              </w:rPr>
              <w:tab/>
              <w:tab/>
              <w:tab/>
              <w:tab/>
            </w:r>
          </w:p>
          <w:p>
            <w:pPr>
              <w:pStyle w:val="Normal"/>
              <w:spacing w:lineRule="exact" w:line="240"/>
              <w:jc w:val="both"/>
              <w:rPr>
                <w:sz w:val="20"/>
              </w:rPr>
            </w:pPr>
            <w:r>
              <w:rPr>
                <w:sz w:val="20"/>
              </w:rPr>
              <w:t>Name:</w:t>
              <w:tab/>
            </w:r>
            <w:r>
              <w:rPr>
                <w:sz w:val="20"/>
                <w:u w:val="single"/>
              </w:rPr>
              <w:tab/>
              <w:tab/>
              <w:tab/>
              <w:tab/>
            </w:r>
          </w:p>
          <w:p>
            <w:pPr>
              <w:pStyle w:val="Normal"/>
              <w:spacing w:lineRule="exact" w:line="240"/>
              <w:jc w:val="both"/>
              <w:rPr>
                <w:sz w:val="20"/>
              </w:rPr>
            </w:pPr>
            <w:r>
              <w:rPr>
                <w:sz w:val="20"/>
              </w:rPr>
              <w:t>Title:</w:t>
              <w:tab/>
            </w:r>
            <w:r>
              <w:rPr>
                <w:sz w:val="20"/>
                <w:u w:val="single"/>
              </w:rPr>
              <w:tab/>
              <w:tab/>
              <w:tab/>
              <w:tab/>
            </w:r>
          </w:p>
        </w:tc>
      </w:tr>
    </w:tbl>
    <w:p>
      <w:pPr>
        <w:pStyle w:val="Normal"/>
        <w:rPr>
          <w:sz w:val="20"/>
        </w:rPr>
      </w:pPr>
      <w:r>
        <w:rPr>
          <w:sz w:val="20"/>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
      <w:rPr>
        <w:sz w:val="16"/>
      </w:rPr>
    </w:pPr>
    <w:r>
      <w:rPr>
        <w:sz w:val="16"/>
      </w:rPr>
      <w:t>O:\Legal\ATTY.FMS\Swaps\Current Forms\amend000.doc</w:t>
    </w:r>
  </w:p>
  <w:p>
    <w:pPr>
      <w:pStyle w:val="Normal"/>
      <w:ind w:end="-36"/>
      <w:jc w:val="center"/>
      <w:rPr>
        <w:sz w:val="20"/>
      </w:rPr>
    </w:pPr>
    <w:r>
      <w:rPr>
        <w:sz w:val="20"/>
      </w:rPr>
    </w:r>
  </w:p>
  <w:p>
    <w:pPr>
      <w:pStyle w:val="Normal"/>
      <w:ind w:end="-36"/>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720"/>
      </w:pPr>
      <w:rPr/>
    </w:lvl>
    <w:lvl w:ilvl="1">
      <w:start w:val="1"/>
      <w:numFmt w:val="decimal"/>
      <w:lvlText w:val="%2."/>
      <w:lvlJc w:val="start"/>
      <w:pPr>
        <w:tabs>
          <w:tab w:val="num" w:pos="1800"/>
        </w:tabs>
        <w:ind w:start="1800" w:hanging="72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color w:val="00000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2001-07-19T15:23:00Z</dcterms:created>
  <dc:creator>mheard</dc:creator>
  <dc:description/>
  <dc:language>en-CA</dc:language>
  <cp:lastModifiedBy>mheard</cp:lastModifiedBy>
  <cp:lastPrinted>2001-07-19T14:30:00Z</cp:lastPrinted>
  <dcterms:modified xsi:type="dcterms:W3CDTF">2001-07-19T17:01:00Z</dcterms:modified>
  <cp:revision>8</cp:revision>
  <dc:subject/>
  <dc:title>AMENDMENT TO MASTER AGREEMENT</dc:title>
</cp:coreProperties>
</file>