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Dated as of March 23, 2001</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rPr/>
      </w:pPr>
      <w:r>
        <w:rPr>
          <w:b/>
          <w:bCs/>
          <w:sz w:val="20"/>
        </w:rPr>
        <w:t>ENRON BROADBAND SERVICES</w:t>
      </w:r>
      <w:r>
        <w:rPr>
          <w:sz w:val="20"/>
        </w:rPr>
        <w:tab/>
        <w:tab/>
        <w:t>and</w:t>
        <w:tab/>
        <w:tab/>
      </w:r>
      <w:r>
        <w:rPr>
          <w:b/>
          <w:bCs/>
          <w:sz w:val="20"/>
        </w:rPr>
        <w:t>UECOMM OPERATIONS PTY LIMITED</w:t>
      </w:r>
      <w:r>
        <w:rPr>
          <w:sz w:val="20"/>
        </w:rPr>
        <w:t xml:space="preserve"> (</w:t>
      </w:r>
      <w:r>
        <w:rPr>
          <w:b/>
          <w:sz w:val="20"/>
        </w:rPr>
        <w:t>"</w:t>
      </w:r>
      <w:r>
        <w:rPr>
          <w:b/>
          <w:sz w:val="20"/>
          <w:u w:val="single"/>
        </w:rPr>
        <w:t>Party B</w:t>
      </w:r>
      <w:r>
        <w:rPr>
          <w:b/>
          <w:sz w:val="20"/>
        </w:rPr>
        <w:t>"</w:t>
      </w:r>
      <w:r>
        <w:rPr>
          <w:sz w:val="20"/>
        </w:rPr>
        <w:t>)</w:t>
      </w:r>
    </w:p>
    <w:p>
      <w:pPr>
        <w:pStyle w:val="Normal"/>
        <w:widowControl w:val="false"/>
        <w:rPr/>
      </w:pPr>
      <w:r>
        <w:rPr>
          <w:b/>
          <w:bCs/>
          <w:sz w:val="20"/>
        </w:rPr>
        <w:t>ASIA/PACIFIC PTE LTD. ("</w:t>
      </w:r>
      <w:r>
        <w:rPr>
          <w:b/>
          <w:bCs/>
          <w:sz w:val="20"/>
          <w:u w:val="single"/>
        </w:rPr>
        <w:t>Party A</w:t>
      </w:r>
      <w:r>
        <w:rPr>
          <w:b/>
          <w:bCs/>
          <w:sz w:val="20"/>
        </w:rPr>
        <w:t>")</w:t>
      </w:r>
    </w:p>
    <w:p>
      <w:pPr>
        <w:pStyle w:val="Normal"/>
        <w:widowControl w:val="false"/>
        <w:ind w:end="-720"/>
        <w:jc w:val="both"/>
        <w:rPr>
          <w:b/>
          <w:bCs/>
          <w:sz w:val="20"/>
        </w:rPr>
      </w:pPr>
      <w:r>
        <w:rPr>
          <w:b/>
          <w:bCs/>
          <w:sz w:val="20"/>
        </w:rPr>
      </w:r>
    </w:p>
    <w:p>
      <w:pPr>
        <w:pStyle w:val="coverbody"/>
        <w:widowControl w:val="false"/>
        <w:spacing w:before="0" w:after="0"/>
        <w:rPr/>
      </w:pPr>
      <w:r>
        <w:rPr/>
        <w:t>Type of Legal Entity:  corporation</w:t>
        <w:tab/>
        <w:tab/>
        <w:tab/>
        <w:tab/>
        <w:tab/>
        <w:t>Type of Legal Entity:  corporation</w:t>
      </w:r>
    </w:p>
    <w:p>
      <w:pPr>
        <w:pStyle w:val="coverbody"/>
        <w:widowControl w:val="false"/>
        <w:spacing w:before="0" w:after="0"/>
        <w:rPr>
          <w:u w:val="single"/>
        </w:rPr>
      </w:pPr>
      <w:r>
        <w:rPr/>
        <w:t>Place of Organization/Registration:  Singapore</w:t>
        <w:tab/>
        <w:tab/>
        <w:tab/>
        <w:t>Place of Organization/Registration:  Victoria, Australia</w:t>
      </w:r>
    </w:p>
    <w:p>
      <w:pPr>
        <w:pStyle w:val="Normal"/>
        <w:widowControl w:val="false"/>
        <w:jc w:val="both"/>
        <w:rPr/>
      </w:pPr>
      <w:r>
        <w:rPr>
          <w:sz w:val="20"/>
        </w:rPr>
        <w:t>Organization/Registration No.:</w:t>
      </w:r>
      <w:r>
        <w:rPr>
          <w:sz w:val="20"/>
          <w:u w:val="single"/>
        </w:rPr>
        <w:tab/>
        <w:tab/>
        <w:tab/>
      </w:r>
      <w:r>
        <w:rPr>
          <w:sz w:val="20"/>
        </w:rPr>
        <w:tab/>
        <w:tab/>
        <w:t>Organization/Registration No.:  ACN 093 504 100</w:t>
      </w:r>
    </w:p>
    <w:p>
      <w:pPr>
        <w:sectPr>
          <w:headerReference w:type="default" r:id="rId2"/>
          <w:headerReference w:type="first" r:id="rId3"/>
          <w:footerReference w:type="default" r:id="rId4"/>
          <w:footerReference w:type="first" r:id="rId5"/>
          <w:type w:val="nextPage"/>
          <w:pgSz w:w="12240" w:h="15840"/>
          <w:pgMar w:left="720" w:right="720" w:gutter="0" w:header="720" w:top="1008" w:footer="576" w:bottom="1008"/>
          <w:pgNumType w:start="1" w:fmt="decimal"/>
          <w:formProt w:val="false"/>
          <w:titlePg/>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itlePg/>
          <w:textDirection w:val="lrTb"/>
          <w:docGrid w:type="default" w:linePitch="360" w:charSpace="0"/>
        </w:sectPr>
      </w:pPr>
    </w:p>
    <w:p>
      <w:pPr>
        <w:pStyle w:val="BodyText"/>
        <w:jc w:val="both"/>
        <w:rPr>
          <w:sz w:val="19"/>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Terms used herein and not defined herein shall have the meanings set forth in Article 1.</w:t>
      </w:r>
    </w:p>
    <w:p>
      <w:pPr>
        <w:pStyle w:val="Heading1"/>
        <w:numPr>
          <w:ilvl w:val="0"/>
          <w:numId w:val="20"/>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BodyText"/>
        <w:spacing w:before="0" w:after="0"/>
        <w:rPr>
          <w:sz w:val="19"/>
        </w:rPr>
      </w:pPr>
      <w:r>
        <w:rPr>
          <w:sz w:val="19"/>
        </w:rPr>
      </w:r>
    </w:p>
    <w:p>
      <w:pPr>
        <w:pStyle w:val="Heading2"/>
        <w:spacing w:before="0" w:after="120"/>
        <w:ind w:firstLine="720" w:start="0" w:end="0"/>
        <w:rPr>
          <w:sz w:val="19"/>
        </w:rPr>
      </w:pPr>
      <w:r>
        <w:rPr>
          <w:sz w:val="19"/>
          <w:u w:val="single"/>
        </w:rPr>
        <w:t>Transactions</w:t>
      </w:r>
      <w:r>
        <w:rPr>
          <w:sz w:val="19"/>
        </w:rPr>
        <w:t>.  A Transaction shall be entered into upon agreement of the Parties in writing, including by means of electronic communication ("</w:t>
      </w:r>
      <w:r>
        <w:rPr>
          <w:sz w:val="19"/>
          <w:u w:val="single"/>
        </w:rPr>
        <w:t>Confirmation</w:t>
      </w:r>
      <w:r>
        <w:rPr>
          <w:sz w:val="19"/>
        </w:rPr>
        <w:t>").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Additional Confirmation Terms</w:t>
      </w:r>
      <w:r>
        <w:rPr>
          <w:sz w:val="19"/>
        </w:rPr>
        <w:t>.  An Executed Confirmation may contain provisions which modify or supplement the terms and conditions of this Master Agreement (e.g., additional representations and warranties), and such provisions shall not be deemed to be accepted unless agreed in writing by the Parties.</w:t>
      </w:r>
    </w:p>
    <w:p>
      <w:pPr>
        <w:pStyle w:val="Heading2"/>
        <w:spacing w:before="0" w:after="120"/>
        <w:ind w:firstLine="720" w:start="0" w:end="0"/>
        <w:rPr>
          <w:sz w:val="19"/>
        </w:rPr>
      </w:pPr>
      <w:r>
        <w:rPr>
          <w:sz w:val="19"/>
          <w:u w:val="single"/>
        </w:rPr>
        <w:t>Inconsistency</w:t>
      </w:r>
      <w:r>
        <w:rPr>
          <w:sz w:val="19"/>
        </w:rPr>
        <w:t>.  In the event of any inconsistency between the terms of an Executed Confirmation or this Master Agreement, the terms of the Executed Confirmation shall prevail.</w:t>
      </w:r>
    </w:p>
    <w:p>
      <w:pPr>
        <w:pStyle w:val="Heading2"/>
        <w:spacing w:before="0" w:after="120"/>
        <w:ind w:firstLine="720" w:start="0" w:end="0"/>
        <w:rPr>
          <w:sz w:val="19"/>
        </w:rPr>
      </w:pPr>
      <w:r>
        <w:rPr>
          <w:sz w:val="19"/>
          <w:u w:val="single"/>
        </w:rPr>
        <w:t>Demarcation Point and Other Information</w:t>
      </w:r>
      <w:r>
        <w:rPr>
          <w:sz w:val="19"/>
        </w:rPr>
        <w:t>.</w:t>
      </w:r>
    </w:p>
    <w:p>
      <w:pPr>
        <w:pStyle w:val="Heading4"/>
        <w:tabs>
          <w:tab w:val="clear" w:pos="720"/>
          <w:tab w:val="left" w:pos="1440" w:leader="none"/>
        </w:tabs>
        <w:spacing w:before="0" w:after="120"/>
        <w:ind w:firstLine="720" w:start="0" w:end="0"/>
        <w:rPr>
          <w:sz w:val="19"/>
        </w:rPr>
      </w:pPr>
      <w:r>
        <w:rPr>
          <w:sz w:val="19"/>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firstLine="720" w:start="0" w:end="0"/>
        <w:rPr>
          <w:sz w:val="19"/>
        </w:rPr>
      </w:pPr>
      <w:r>
        <w:rPr>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2.6 shall only arise if the Option Buyer exercises the applicable Option in accordance with its terms.  In the event of any breach of this Section 2.6(i),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 Event of Default under this Section 5.1, any default for which the exclusive remedy is provided in Section 2.6, Article 3,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9"/>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Heading5"/>
        <w:numPr>
          <w:ilvl w:val="0"/>
          <w:numId w:val="0"/>
        </w:numPr>
        <w:tabs>
          <w:tab w:val="left" w:pos="720" w:leader="none"/>
        </w:tabs>
        <w:spacing w:before="0" w:after="120"/>
        <w:ind w:hanging="0" w:start="0"/>
        <w:rPr>
          <w:sz w:val="19"/>
        </w:rPr>
      </w:pPr>
      <w:r>
        <w:rPr>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numPr>
          <w:ilvl w:val="0"/>
          <w:numId w:val="0"/>
        </w:numPr>
        <w:spacing w:before="0" w:after="120"/>
        <w:ind w:firstLine="720" w:start="0" w:end="0"/>
        <w:rPr>
          <w:sz w:val="19"/>
        </w:rPr>
      </w:pPr>
      <w:r>
        <w:rPr>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b/>
          <w:bCs/>
          <w:sz w:val="19"/>
        </w:rPr>
      </w:pPr>
      <w:r>
        <w:rPr>
          <w:b/>
          <w:bCs/>
          <w:sz w:val="19"/>
        </w:rPr>
        <w:t>ENRON BROADBAND SERVICES ASIA/PACIFIC</w:t>
      </w:r>
    </w:p>
    <w:p>
      <w:pPr>
        <w:pStyle w:val="Normal"/>
        <w:widowControl w:val="false"/>
        <w:spacing w:before="0" w:after="19"/>
        <w:jc w:val="both"/>
        <w:rPr>
          <w:b/>
          <w:bCs/>
          <w:sz w:val="19"/>
        </w:rPr>
      </w:pPr>
      <w:r>
        <w:rPr>
          <w:b/>
          <w:bCs/>
          <w:sz w:val="19"/>
        </w:rPr>
        <w:t>PTE LTD.</w:t>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sz w:val="19"/>
        </w:rPr>
      </w:pPr>
      <w:r>
        <w:rPr>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sz w:val="19"/>
          <w:u w:val="single"/>
        </w:rPr>
      </w:pPr>
      <w:r>
        <w:rPr>
          <w:sz w:val="19"/>
          <w:u w:val="single"/>
        </w:rPr>
      </w:r>
    </w:p>
    <w:p>
      <w:pPr>
        <w:pStyle w:val="Normal"/>
        <w:widowControl w:val="false"/>
        <w:jc w:val="both"/>
        <w:rPr>
          <w:b/>
          <w:bCs/>
          <w:iCs/>
          <w:sz w:val="19"/>
        </w:rPr>
      </w:pPr>
      <w:r>
        <w:rPr>
          <w:b/>
          <w:bCs/>
          <w:iCs/>
          <w:sz w:val="19"/>
        </w:rPr>
        <w:t>UECOMM OPERATIONS PTY LIMITED</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jc w:val="both"/>
        <w:rPr>
          <w:sz w:val="19"/>
          <w:u w:val="single"/>
        </w:rPr>
      </w:pPr>
      <w:r>
        <w:rPr>
          <w:sz w:val="19"/>
          <w:u w:val="single"/>
        </w:rPr>
      </w:r>
    </w:p>
    <w:p>
      <w:pPr>
        <w:sectPr>
          <w:type w:val="continuous"/>
          <w:pgSz w:w="12240" w:h="15840"/>
          <w:pgMar w:left="720" w:right="720" w:gutter="0" w:header="720" w:top="1008" w:footer="576" w:bottom="1008"/>
          <w:cols w:num="2" w:space="720" w:equalWidth="true" w:sep="false"/>
          <w:formProt w:val="false"/>
          <w:titlePg/>
          <w:textDirection w:val="lrTb"/>
          <w:docGrid w:type="default" w:linePitch="360" w:charSpace="0"/>
        </w:sectPr>
      </w:pPr>
    </w:p>
    <w:p>
      <w:pPr>
        <w:pStyle w:val="Normal"/>
        <w:widowControl w:val="false"/>
        <w:jc w:val="center"/>
        <w:rPr>
          <w:b/>
          <w:sz w:val="20"/>
        </w:rPr>
      </w:pPr>
      <w:r>
        <w:rPr>
          <w:b/>
          <w:sz w:val="20"/>
        </w:rPr>
      </w:r>
    </w:p>
    <w:p>
      <w:pPr>
        <w:pStyle w:val="Normal"/>
        <w:widowControl w:val="false"/>
        <w:jc w:val="center"/>
        <w:rPr>
          <w:b/>
          <w:sz w:val="20"/>
        </w:rPr>
      </w:pPr>
      <w:r>
        <w:rPr>
          <w:b/>
          <w:sz w:val="20"/>
        </w:rPr>
      </w:r>
    </w:p>
    <w:p>
      <w:pPr>
        <w:pStyle w:val="Normal"/>
        <w:widowControl w:val="false"/>
        <w:jc w:val="center"/>
        <w:rPr>
          <w:b/>
          <w:sz w:val="20"/>
        </w:rPr>
      </w:pPr>
      <w:r>
        <w:rPr>
          <w:b/>
          <w:sz w:val="20"/>
        </w:rPr>
      </w:r>
    </w:p>
    <w:p>
      <w:pPr>
        <w:pStyle w:val="Normal"/>
        <w:widowControl w:val="false"/>
        <w:jc w:val="center"/>
        <w:rPr>
          <w:b/>
          <w:sz w:val="20"/>
        </w:rPr>
      </w:pPr>
      <w:r>
        <w:rPr>
          <w:b/>
          <w:sz w:val="20"/>
        </w:rPr>
      </w: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pPr>
      <w:r>
        <w:rPr>
          <w:b/>
          <w:i/>
          <w:sz w:val="20"/>
        </w:rPr>
        <w:t>"Bankrupt"</w:t>
      </w:r>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sz w:val="20"/>
        </w:rPr>
        <w:t>"Confirmation"</w:t>
      </w:r>
      <w:r>
        <w:rPr>
          <w:sz w:val="20"/>
        </w:rPr>
        <w:t xml:space="preserve"> has the meaning set forth in Section 2.1.</w:t>
      </w:r>
    </w:p>
    <w:p>
      <w:pPr>
        <w:pStyle w:val="Normal"/>
        <w:spacing w:before="0" w:after="120"/>
        <w:jc w:val="both"/>
        <w:rPr/>
      </w:pPr>
      <w:r>
        <w:rPr>
          <w:b/>
          <w:i/>
          <w:sz w:val="20"/>
        </w:rPr>
        <w:t>"Contract Price"</w:t>
      </w:r>
      <w:r>
        <w:rPr>
          <w:sz w:val="20"/>
        </w:rPr>
        <w:t xml:space="preserve"> means the price per Period to be paid by Buyer to Seller for the purchase of the Product.</w:t>
      </w:r>
    </w:p>
    <w:p>
      <w:pPr>
        <w:pStyle w:val="BodyText"/>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20"/>
        </w:rPr>
        <w:t>"Effective Date"</w:t>
      </w:r>
      <w:r>
        <w:rPr>
          <w:sz w:val="20"/>
        </w:rPr>
        <w:t xml:space="preserve"> means the date set forth on the first page of this Master Agreement.</w:t>
      </w:r>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by the Parties in accordance with Section 2.1,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b/>
          <w:i/>
          <w:sz w:val="20"/>
        </w:rPr>
        <w:t>"Guarantor"</w:t>
      </w:r>
      <w:r>
        <w:rPr>
          <w:sz w:val="20"/>
        </w:rPr>
        <w:t xml:space="preserve"> means, in respect of a Party, the guarantor, if any, specified for such Party on the Schedule.</w:t>
      </w:r>
    </w:p>
    <w:p>
      <w:pPr>
        <w:pStyle w:val="BodyText"/>
        <w:jc w:val="both"/>
        <w:rPr/>
      </w:pPr>
      <w:r>
        <w:rPr>
          <w:b/>
          <w:i/>
          <w:sz w:val="20"/>
        </w:rPr>
        <w:t>"Losses"</w:t>
      </w:r>
      <w:r>
        <w:rPr>
          <w:b/>
          <w:sz w:val="20"/>
        </w:rPr>
        <w:t xml:space="preserve"> </w:t>
      </w:r>
      <w:r>
        <w:rPr>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pPr>
      <w:r>
        <w:rPr>
          <w:b/>
          <w:i/>
          <w:sz w:val="20"/>
        </w:rPr>
        <w:t>"Product"</w:t>
      </w:r>
      <w:r>
        <w:rPr>
          <w:sz w:val="20"/>
        </w:rPr>
        <w:t xml:space="preserve"> means the product or service to be made available by Seller to Buyer in accordance with this Agreement.</w:t>
      </w:r>
    </w:p>
    <w:p>
      <w:pPr>
        <w:pStyle w:val="BodyText"/>
        <w:jc w:val="both"/>
        <w:rPr/>
      </w:pPr>
      <w:r>
        <w:rPr>
          <w:b/>
          <w:i/>
          <w:sz w:val="20"/>
        </w:rPr>
        <w:t>"Product Termination Event"</w:t>
      </w:r>
      <w:r>
        <w:rPr>
          <w:sz w:val="20"/>
        </w:rPr>
        <w:t xml:space="preserve"> means the Product Termination Event agreed to by the Parties in connection with a Product.</w:t>
      </w:r>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pPr>
      <w:r>
        <w:rPr>
          <w:b/>
          <w:i/>
          <w:sz w:val="20"/>
        </w:rPr>
        <w:t>"SLA Failure"</w:t>
      </w:r>
      <w:r>
        <w:rPr>
          <w:sz w:val="20"/>
        </w:rPr>
        <w:t xml:space="preserve"> has the meaning set forth in the applicable Service Level Agreement.</w:t>
      </w:r>
    </w:p>
    <w:p>
      <w:pPr>
        <w:pStyle w:val="BodyText"/>
        <w:jc w:val="both"/>
        <w:rPr/>
      </w:pPr>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08" w:equalWidth="true" w:sep="false"/>
          <w:formProt w:val="false"/>
          <w:titlePg/>
          <w:textDirection w:val="lrTb"/>
          <w:docGrid w:type="default" w:linePitch="360" w:charSpace="0"/>
        </w:sectPr>
      </w:pPr>
    </w:p>
    <w:p>
      <w:pPr>
        <w:pStyle w:val="BodyText"/>
        <w:numPr>
          <w:ilvl w:val="0"/>
          <w:numId w:val="0"/>
        </w:numPr>
        <w:rPr>
          <w:sz w:val="20"/>
        </w:rPr>
      </w:pPr>
      <w:r>
        <w:rPr>
          <w:sz w:val="20"/>
        </w:rPr>
      </w:r>
    </w:p>
    <w:p>
      <w:pPr>
        <w:sectPr>
          <w:headerReference w:type="default" r:id="rId6"/>
          <w:footerReference w:type="default" r:id="rId7"/>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jc w:val="both"/>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ten (10)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ten (10) Business Days, an Event of Default will be deemed to have occurred.</w:t>
      </w:r>
    </w:p>
    <w:p>
      <w:pPr>
        <w:pStyle w:val="Heading5"/>
        <w:numPr>
          <w:ilvl w:val="4"/>
          <w:numId w:val="18"/>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ten (10)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ten (10)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ten (10)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ten (10)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ten (10)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ten (10)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ten (10)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ten (10)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16"/>
        </w:numPr>
        <w:spacing w:before="0" w:after="120"/>
        <w:ind w:hanging="0" w:start="0" w:end="0"/>
        <w:rPr>
          <w:sz w:val="19"/>
        </w:rPr>
      </w:pP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08" w:equalWidth="true" w:sep="false"/>
          <w:formProt w:val="false"/>
          <w:textDirection w:val="lrTb"/>
          <w:docGrid w:type="default" w:linePitch="360" w:charSpace="0"/>
        </w:sectPr>
      </w:pPr>
    </w:p>
    <w:p>
      <w:pPr>
        <w:pStyle w:val="Normal"/>
        <w:spacing w:before="0" w:after="120"/>
        <w:jc w:val="center"/>
        <w:rPr>
          <w:b/>
          <w:sz w:val="20"/>
        </w:rPr>
      </w:pPr>
      <w:r>
        <w:rPr>
          <w:b/>
          <w:sz w:val="20"/>
        </w:rPr>
      </w:r>
    </w:p>
    <w:p>
      <w:pPr>
        <w:pStyle w:val="Normal"/>
        <w:tabs>
          <w:tab w:val="left" w:pos="720" w:leader="none"/>
        </w:tabs>
        <w:jc w:val="center"/>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w:t>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t>“</w:t>
      </w:r>
      <w:r>
        <w:rPr>
          <w:sz w:val="20"/>
        </w:rPr>
        <w:t>BBB-“ or higher by S&amp;P.</w:t>
      </w:r>
    </w:p>
    <w:p>
      <w:pPr>
        <w:sectPr>
          <w:headerReference w:type="default" r:id="rId8"/>
          <w:footerReference w:type="default" r:id="rId9"/>
          <w:type w:val="nextPage"/>
          <w:pgSz w:w="12240" w:h="15840"/>
          <w:pgMar w:left="720" w:right="720" w:gutter="0" w:header="720" w:top="1008" w:footer="576" w:bottom="1008"/>
          <w:pgNumType w:start="1" w:fmt="decimal"/>
          <w:cols w:num="2" w:space="720" w:equalWidth="true" w:sep="false"/>
          <w:formProt w:val="false"/>
          <w:textDirection w:val="lrTb"/>
          <w:docGrid w:type="default" w:linePitch="360" w:charSpace="0"/>
        </w:sectPr>
        <w:pStyle w:val="BodyText"/>
        <w:rPr/>
      </w:pPr>
      <w:r>
        <w:rPr>
          <w:b/>
          <w:i/>
          <w:sz w:val="20"/>
        </w:rPr>
        <w:t>"S&amp;P"</w:t>
      </w:r>
      <w:r>
        <w:rPr>
          <w:sz w:val="20"/>
        </w:rPr>
        <w:t xml:space="preserve"> means the Standard &amp; Poor’s Rating Group (a division of McGraw-Hill, Inc.) or its successor.</w:t>
      </w: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coverbody"/>
        <w:widowControl w:val="false"/>
        <w:spacing w:before="0" w:after="0"/>
        <w:rPr/>
      </w:pPr>
      <w:r>
        <w:rPr/>
        <w:t>Enron Broadband Services Asia/Pacific Pte Ltd.</w:t>
        <w:tab/>
        <w:tab/>
        <w:tab/>
        <w:t>Uecomm Operations Pty Ltd.</w:t>
      </w:r>
    </w:p>
    <w:p>
      <w:pPr>
        <w:pStyle w:val="Normal"/>
        <w:widowControl w:val="false"/>
        <w:jc w:val="both"/>
        <w:rPr/>
      </w:pPr>
      <w:r>
        <w:rPr>
          <w:sz w:val="20"/>
          <w:u w:val="single"/>
        </w:rPr>
        <w:tab/>
        <w:tab/>
        <w:tab/>
        <w:tab/>
        <w:tab/>
        <w:tab/>
      </w:r>
      <w:r>
        <w:rPr>
          <w:sz w:val="20"/>
        </w:rPr>
        <w:tab/>
        <w:tab/>
        <w:t>126 Trenerry Crescent</w:t>
      </w:r>
    </w:p>
    <w:p>
      <w:pPr>
        <w:pStyle w:val="Normal"/>
        <w:widowControl w:val="false"/>
        <w:jc w:val="both"/>
        <w:rPr/>
      </w:pPr>
      <w:r>
        <w:rPr>
          <w:sz w:val="20"/>
          <w:u w:val="single"/>
        </w:rPr>
        <w:tab/>
        <w:tab/>
        <w:tab/>
        <w:tab/>
        <w:tab/>
        <w:tab/>
      </w:r>
      <w:r>
        <w:rPr>
          <w:sz w:val="20"/>
        </w:rPr>
        <w:tab/>
        <w:tab/>
        <w:t>Abbotsford, Victoria  3067, AUSTRALIA</w:t>
      </w:r>
    </w:p>
    <w:p>
      <w:pPr>
        <w:pStyle w:val="Normal"/>
        <w:widowControl w:val="false"/>
        <w:jc w:val="both"/>
        <w:rPr/>
      </w:pPr>
      <w:r>
        <w:rPr>
          <w:sz w:val="20"/>
        </w:rPr>
        <w:t xml:space="preserve">Attn.:  </w:t>
      </w:r>
      <w:r>
        <w:rPr>
          <w:sz w:val="20"/>
          <w:u w:val="single"/>
        </w:rPr>
        <w:tab/>
        <w:tab/>
        <w:tab/>
        <w:tab/>
        <w:tab/>
        <w:tab/>
      </w:r>
      <w:r>
        <w:rPr>
          <w:sz w:val="20"/>
        </w:rPr>
        <w:tab/>
        <w:tab/>
        <w:t>Attn.:  Legal Counsel</w:t>
      </w:r>
    </w:p>
    <w:p>
      <w:pPr>
        <w:pStyle w:val="Normal"/>
        <w:widowControl w:val="false"/>
        <w:jc w:val="both"/>
        <w:rPr/>
      </w:pPr>
      <w:r>
        <w:rPr>
          <w:sz w:val="20"/>
        </w:rPr>
        <w:t xml:space="preserve">Fax No.:  </w:t>
      </w:r>
      <w:r>
        <w:rPr>
          <w:sz w:val="20"/>
          <w:u w:val="single"/>
        </w:rPr>
        <w:tab/>
        <w:tab/>
        <w:tab/>
        <w:tab/>
        <w:tab/>
      </w:r>
      <w:r>
        <w:rPr>
          <w:sz w:val="20"/>
        </w:rPr>
        <w:tab/>
        <w:tab/>
        <w:t>Fax No.:  (613) 9221 4193</w:t>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pPr>
      <w:r>
        <w:rPr>
          <w:sz w:val="20"/>
        </w:rPr>
        <w:t xml:space="preserve">Attn: </w:t>
      </w:r>
      <w:r>
        <w:rPr>
          <w:sz w:val="20"/>
          <w:u w:val="single"/>
        </w:rPr>
        <w:tab/>
        <w:tab/>
        <w:tab/>
        <w:tab/>
        <w:tab/>
        <w:tab/>
      </w:r>
      <w:r>
        <w:rPr>
          <w:sz w:val="20"/>
        </w:rPr>
        <w:tab/>
        <w:tab/>
        <w:t>Attn:  Finance Department</w:t>
      </w:r>
    </w:p>
    <w:p>
      <w:pPr>
        <w:pStyle w:val="Normal"/>
        <w:widowControl w:val="false"/>
        <w:jc w:val="both"/>
        <w:rPr>
          <w:sz w:val="20"/>
          <w:u w:val="single"/>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Phone: (613) 9221 4100</w:t>
        <w:tab/>
        <w:t>Fax: (613) 9221 4193</w:t>
      </w:r>
    </w:p>
    <w:p>
      <w:pPr>
        <w:pStyle w:val="Normal"/>
        <w:widowControl w:val="false"/>
        <w:jc w:val="both"/>
        <w:rPr/>
      </w:pPr>
      <w:r>
        <w:rPr>
          <w:sz w:val="20"/>
        </w:rPr>
        <w:t>Bank:</w:t>
      </w:r>
      <w:r>
        <w:rPr>
          <w:sz w:val="20"/>
          <w:u w:val="single"/>
        </w:rPr>
        <w:tab/>
        <w:tab/>
        <w:tab/>
        <w:tab/>
        <w:tab/>
        <w:tab/>
      </w:r>
      <w:r>
        <w:rPr>
          <w:sz w:val="20"/>
        </w:rPr>
        <w:tab/>
        <w:tab/>
        <w:t>Bank:  National Australia Bank</w:t>
      </w:r>
    </w:p>
    <w:p>
      <w:pPr>
        <w:pStyle w:val="Normal"/>
        <w:widowControl w:val="false"/>
        <w:jc w:val="both"/>
        <w:rPr/>
      </w:pPr>
      <w:r>
        <w:rPr>
          <w:sz w:val="20"/>
        </w:rPr>
        <w:t xml:space="preserve">Account No. </w:t>
      </w:r>
      <w:r>
        <w:rPr>
          <w:sz w:val="20"/>
          <w:u w:val="single"/>
        </w:rPr>
        <w:tab/>
        <w:tab/>
        <w:tab/>
        <w:tab/>
        <w:tab/>
      </w:r>
      <w:r>
        <w:rPr>
          <w:sz w:val="20"/>
        </w:rPr>
        <w:tab/>
        <w:tab/>
        <w:t>Account No.:  4922 43091</w:t>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BSB No.  082-001</w:t>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coverbody"/>
        <w:widowControl w:val="false"/>
        <w:spacing w:before="0" w:after="0"/>
        <w:rPr/>
      </w:pPr>
      <w:r>
        <w:rPr/>
        <w:t>Enron Broadband Services Asia/Pacific Pte Ltd.</w:t>
        <w:tab/>
        <w:tab/>
        <w:tab/>
        <w:t>Uecomm Operations Pty Ltd.</w:t>
      </w:r>
    </w:p>
    <w:p>
      <w:pPr>
        <w:pStyle w:val="Normal"/>
        <w:widowControl w:val="false"/>
        <w:jc w:val="both"/>
        <w:rPr/>
      </w:pPr>
      <w:r>
        <w:rPr>
          <w:sz w:val="20"/>
          <w:u w:val="single"/>
        </w:rPr>
        <w:tab/>
        <w:tab/>
        <w:tab/>
        <w:tab/>
        <w:tab/>
        <w:tab/>
      </w:r>
      <w:r>
        <w:rPr>
          <w:sz w:val="20"/>
        </w:rPr>
        <w:tab/>
        <w:tab/>
        <w:t>126 Trenerry Crescent</w:t>
      </w:r>
    </w:p>
    <w:p>
      <w:pPr>
        <w:pStyle w:val="Normal"/>
        <w:widowControl w:val="false"/>
        <w:jc w:val="both"/>
        <w:rPr/>
      </w:pPr>
      <w:r>
        <w:rPr>
          <w:sz w:val="20"/>
          <w:u w:val="single"/>
        </w:rPr>
        <w:tab/>
        <w:tab/>
        <w:tab/>
        <w:tab/>
        <w:tab/>
        <w:tab/>
      </w:r>
      <w:r>
        <w:rPr>
          <w:sz w:val="20"/>
        </w:rPr>
        <w:tab/>
        <w:tab/>
        <w:t>Abbotsford, Victoria  3067, AUSTRALIA</w:t>
      </w:r>
    </w:p>
    <w:p>
      <w:pPr>
        <w:pStyle w:val="Normal"/>
        <w:widowControl w:val="false"/>
        <w:jc w:val="both"/>
        <w:rPr/>
      </w:pPr>
      <w:r>
        <w:rPr>
          <w:sz w:val="20"/>
        </w:rPr>
        <w:t xml:space="preserve">Attn.:  </w:t>
      </w:r>
      <w:r>
        <w:rPr>
          <w:sz w:val="20"/>
          <w:u w:val="single"/>
        </w:rPr>
        <w:tab/>
        <w:tab/>
        <w:tab/>
        <w:tab/>
        <w:tab/>
        <w:tab/>
      </w:r>
      <w:r>
        <w:rPr>
          <w:sz w:val="20"/>
        </w:rPr>
        <w:tab/>
        <w:tab/>
        <w:t>Attn.:  Finance Department</w:t>
      </w:r>
    </w:p>
    <w:p>
      <w:pPr>
        <w:pStyle w:val="Normal"/>
        <w:widowControl w:val="false"/>
        <w:jc w:val="both"/>
        <w:rPr/>
      </w:pPr>
      <w:r>
        <w:rPr>
          <w:sz w:val="20"/>
        </w:rPr>
        <w:t xml:space="preserve">Phone: </w:t>
        <w:tab/>
      </w:r>
      <w:r>
        <w:rPr>
          <w:sz w:val="20"/>
          <w:u w:val="single"/>
        </w:rPr>
        <w:tab/>
        <w:tab/>
      </w:r>
      <w:r>
        <w:rPr>
          <w:sz w:val="20"/>
        </w:rPr>
        <w:t xml:space="preserve"> Fax:  </w:t>
      </w:r>
      <w:r>
        <w:rPr>
          <w:sz w:val="20"/>
          <w:u w:val="single"/>
        </w:rPr>
        <w:tab/>
        <w:tab/>
        <w:tab/>
      </w:r>
      <w:r>
        <w:rPr>
          <w:sz w:val="20"/>
        </w:rPr>
        <w:tab/>
        <w:tab/>
        <w:t>Phone:  (613) 9221 4100</w:t>
        <w:tab/>
        <w:t>Fax:  (613) 9221 4193</w:t>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t>Service Manager</w:t>
      </w:r>
    </w:p>
    <w:p>
      <w:pPr>
        <w:pStyle w:val="Normal"/>
        <w:widowControl w:val="false"/>
        <w:jc w:val="both"/>
        <w:rPr/>
      </w:pPr>
      <w:r>
        <w:rPr>
          <w:sz w:val="20"/>
        </w:rPr>
        <w:t xml:space="preserve">Attn: </w:t>
      </w:r>
      <w:r>
        <w:rPr>
          <w:spacing w:val="-6"/>
          <w:sz w:val="20"/>
        </w:rPr>
        <w:t xml:space="preserve"> </w:t>
      </w:r>
      <w:r>
        <w:rPr>
          <w:spacing w:val="-6"/>
          <w:sz w:val="20"/>
          <w:u w:val="single"/>
        </w:rPr>
        <w:tab/>
        <w:tab/>
        <w:tab/>
        <w:tab/>
        <w:tab/>
        <w:tab/>
      </w:r>
      <w:r>
        <w:rPr>
          <w:sz w:val="20"/>
        </w:rPr>
        <w:tab/>
        <w:tab/>
        <w:t>Attn:  Gus Halbwirth</w:t>
      </w:r>
    </w:p>
    <w:p>
      <w:pPr>
        <w:pStyle w:val="Normal"/>
        <w:widowControl w:val="false"/>
        <w:jc w:val="both"/>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(612) 8226 3216</w:t>
        <w:tab/>
        <w:t>Fax:  (612) 9455 1222</w:t>
      </w:r>
    </w:p>
    <w:p>
      <w:pPr>
        <w:pStyle w:val="Normal"/>
        <w:widowControl w:val="false"/>
        <w:jc w:val="both"/>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0414 379 475</w:t>
      </w:r>
    </w:p>
    <w:p>
      <w:pPr>
        <w:sectPr>
          <w:headerReference w:type="default" r:id="rId10"/>
          <w:headerReference w:type="first" r:id="rId11"/>
          <w:footerReference w:type="default" r:id="rId12"/>
          <w:footerReference w:type="first" r:id="rId13"/>
          <w:type w:val="nextPage"/>
          <w:pgSz w:w="12240" w:h="15840"/>
          <w:pgMar w:left="720" w:right="720" w:gutter="0" w:header="720" w:top="1008" w:footer="576" w:bottom="1008"/>
          <w:pgNumType w:start="1" w:fmt="decimal"/>
          <w:formProt w:val="false"/>
          <w:textDirection w:val="lrTb"/>
          <w:docGrid w:type="default" w:linePitch="360" w:charSpace="0"/>
        </w:sectPr>
        <w:pStyle w:val="Normal"/>
        <w:widowControl w:val="false"/>
        <w:jc w:val="both"/>
        <w:rPr/>
      </w:pPr>
      <w:r>
        <w:rPr>
          <w:spacing w:val="-6"/>
          <w:sz w:val="20"/>
        </w:rPr>
        <w:t xml:space="preserve">E-mail:  </w:t>
      </w:r>
      <w:r>
        <w:rPr>
          <w:spacing w:val="-6"/>
          <w:sz w:val="20"/>
          <w:u w:val="single"/>
        </w:rPr>
        <w:tab/>
        <w:tab/>
        <w:tab/>
        <w:tab/>
        <w:tab/>
        <w:tab/>
      </w:r>
      <w:r>
        <w:rPr>
          <w:spacing w:val="-6"/>
          <w:sz w:val="20"/>
        </w:rPr>
        <w:tab/>
        <w:tab/>
        <w:t>E-mail</w:t>
      </w:r>
      <w:r>
        <w:rPr>
          <w:sz w:val="20"/>
        </w:rPr>
        <w:t>:  ghalbwirth@uecomm.com.au</w:t>
      </w: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headerReference w:type="default" r:id="rId14"/>
          <w:headerReference w:type="first" r:id="rId15"/>
          <w:footerReference w:type="default" r:id="rId16"/>
          <w:footerReference w:type="first" r:id="rId17"/>
          <w:type w:val="nextPage"/>
          <w:pgSz w:w="12240" w:h="15840"/>
          <w:pgMar w:left="720" w:right="720" w:gutter="0" w:header="720" w:top="1008" w:footer="576" w:bottom="1008"/>
          <w:pgNumType w:start="1" w:fmt="decimal"/>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2.3</w:t>
      </w:r>
      <w:r>
        <w:rPr>
          <w:sz w:val="20"/>
        </w:rPr>
        <w:tab/>
      </w:r>
      <w:r>
        <w:fldChar w:fldCharType="begin">
          <w:ffData>
            <w:name w:val="Check5"/>
            <w:enabled/>
            <w:calcOnExit w:val="0"/>
            <w:checkBox>
              <w:sizeAuto/>
              <w:checked/>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1"/>
            <w:enabled/>
            <w:calcOnExit w:val="0"/>
            <w:checkBox>
              <w:sizeAuto/>
            </w:checkBox>
          </w:ffData>
        </w:fldChar>
      </w:r>
      <w:r>
        <w:rPr>
          <w:sz w:val="20"/>
          <w:b/>
        </w:rPr>
        <w:instrText xml:space="preserve"> FORMCHECKBOX </w:instrText>
      </w:r>
      <w:r>
        <w:rPr>
          <w:sz w:val="20"/>
          <w:b/>
        </w:rPr>
        <w:fldChar w:fldCharType="separate"/>
      </w:r>
      <w:bookmarkStart w:id="3" w:name="Check1"/>
      <w:bookmarkStart w:id="4" w:name="Check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2.3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2"/>
            <w:enabled/>
            <w:calcOnExit w:val="0"/>
            <w:checkBox>
              <w:sizeAuto/>
            </w:checkBox>
          </w:ffData>
        </w:fldChar>
      </w:r>
      <w:r>
        <w:rPr>
          <w:sz w:val="20"/>
          <w:b/>
        </w:rPr>
        <w:instrText xml:space="preserve"> FORMCHECKBOX </w:instrText>
      </w:r>
      <w:r>
        <w:rPr>
          <w:sz w:val="20"/>
          <w:b/>
        </w:rPr>
        <w:fldChar w:fldCharType="separate"/>
      </w:r>
      <w:bookmarkStart w:id="5" w:name="Check2"/>
      <w:bookmarkStart w:id="6" w:name="Check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3"/>
            <w:enabled/>
            <w:calcOnExit w:val="0"/>
            <w:checkBox>
              <w:sizeAuto/>
            </w:checkBox>
          </w:ffData>
        </w:fldChar>
      </w:r>
      <w:r>
        <w:rPr>
          <w:sz w:val="20"/>
        </w:rPr>
        <w:instrText xml:space="preserve"> FORMCHECKBOX </w:instrText>
      </w:r>
      <w:r>
        <w:rPr>
          <w:sz w:val="20"/>
        </w:rPr>
        <w:fldChar w:fldCharType="separate"/>
      </w:r>
      <w:bookmarkStart w:id="7" w:name="Check3"/>
      <w:bookmarkStart w:id="8" w:name="Check3"/>
      <w:bookmarkEnd w:id="8"/>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4"/>
            <w:enabled/>
            <w:calcOnExit w:val="0"/>
            <w:checkBox>
              <w:sizeAuto/>
            </w:checkBox>
          </w:ffData>
        </w:fldChar>
      </w:r>
      <w:r>
        <w:rPr>
          <w:sz w:val="20"/>
        </w:rPr>
        <w:instrText xml:space="preserve"> FORMCHECKBOX </w:instrText>
      </w:r>
      <w:r>
        <w:rPr>
          <w:sz w:val="20"/>
        </w:rPr>
        <w:fldChar w:fldCharType="separate"/>
      </w:r>
      <w:bookmarkStart w:id="9" w:name="Check4"/>
      <w:bookmarkStart w:id="10" w:name="Check4"/>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Unnamed"/>
            <w:enabled/>
            <w:calcOnExit w:val="0"/>
            <w:checkBox>
              <w:sizeAuto/>
              <w:checked/>
            </w:checkBox>
          </w:ffData>
        </w:fldChar>
      </w:r>
      <w:r>
        <w:rPr>
          <w:sz w:val="20"/>
          <w:b/>
        </w:rPr>
        <w:instrText xml:space="preserve"> FORMCHECKBOX </w:instrText>
      </w:r>
      <w:r>
        <w:rPr>
          <w:sz w:val="20"/>
          <w:b/>
        </w:rPr>
        <w:fldChar w:fldCharType="separate"/>
      </w:r>
      <w:bookmarkStart w:id="11" w:name="Unnamed"/>
      <w:bookmarkStart w:id="12" w:name="Unnamed"/>
      <w:bookmarkEnd w:id="12"/>
      <w:r>
        <w:rPr>
          <w:b/>
          <w:sz w:val="20"/>
        </w:rPr>
      </w:r>
      <w:r>
        <w:rPr>
          <w:sz w:val="20"/>
          <w:b/>
        </w:rPr>
        <w:fldChar w:fldCharType="end"/>
      </w:r>
      <w:r>
        <w:rPr>
          <w:sz w:val="20"/>
        </w:rPr>
        <w:t xml:space="preserve"> Other:  New South Wales</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r>
        <w:fldChar w:fldCharType="begin">
          <w:ffData>
            <w:name w:val="Check14"/>
            <w:enabled/>
            <w:calcOnExit w:val="0"/>
            <w:checkBox>
              <w:sizeAuto/>
              <w:checked/>
            </w:checkBox>
          </w:ffData>
        </w:fldChar>
      </w:r>
      <w:r>
        <w:rPr>
          <w:sz w:val="20"/>
        </w:rPr>
        <w:instrText xml:space="preserve"> FORMCHECKBOX </w:instrText>
      </w:r>
      <w:r>
        <w:rPr>
          <w:sz w:val="20"/>
        </w:rPr>
        <w:fldChar w:fldCharType="separate"/>
      </w:r>
      <w:bookmarkStart w:id="13" w:name="Check14"/>
      <w:bookmarkStart w:id="14" w:name="Check14"/>
      <w:bookmarkEnd w:id="14"/>
      <w:r>
        <w:rPr>
          <w:sz w:val="20"/>
        </w:rPr>
      </w:r>
      <w:r>
        <w:rPr>
          <w:sz w:val="20"/>
        </w:rPr>
        <w:fldChar w:fldCharType="end"/>
      </w:r>
      <w:r>
        <w:rPr>
          <w:sz w:val="20"/>
        </w:rPr>
        <w:t xml:space="preserve"> 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7"/>
            <w:enabled/>
            <w:calcOnExit w:val="0"/>
            <w:checkBox>
              <w:sizeAuto/>
            </w:checkBox>
          </w:ffData>
        </w:fldChar>
      </w:r>
      <w:r>
        <w:rPr>
          <w:sz w:val="20"/>
        </w:rPr>
        <w:instrText xml:space="preserve"> FORMCHECKBOX </w:instrText>
      </w:r>
      <w:r>
        <w:rPr>
          <w:sz w:val="20"/>
        </w:rPr>
        <w:fldChar w:fldCharType="separate"/>
      </w:r>
      <w:bookmarkStart w:id="15" w:name="Check7"/>
      <w:bookmarkStart w:id="16" w:name="Check7"/>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r>
        <w:fldChar w:fldCharType="begin">
          <w:ffData>
            <w:name w:val="Check15"/>
            <w:enabled/>
            <w:calcOnExit w:val="0"/>
            <w:checkBox>
              <w:sizeAuto/>
              <w:checked/>
            </w:checkBox>
          </w:ffData>
        </w:fldChar>
      </w:r>
      <w:r>
        <w:rPr>
          <w:sz w:val="20"/>
        </w:rPr>
        <w:instrText xml:space="preserve"> FORMCHECKBOX </w:instrText>
      </w:r>
      <w:r>
        <w:rPr>
          <w:sz w:val="20"/>
        </w:rPr>
        <w:fldChar w:fldCharType="separate"/>
      </w:r>
      <w:bookmarkStart w:id="17" w:name="Check15"/>
      <w:bookmarkStart w:id="18" w:name="Check15"/>
      <w:bookmarkEnd w:id="18"/>
      <w:r>
        <w:rPr>
          <w:sz w:val="20"/>
        </w:rPr>
      </w:r>
      <w:r>
        <w:rPr>
          <w:sz w:val="20"/>
        </w:rPr>
        <w:fldChar w:fldCharType="end"/>
      </w:r>
      <w:r>
        <w:rPr>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8"/>
            <w:enabled/>
            <w:calcOnExit w:val="0"/>
            <w:checkBox>
              <w:sizeAuto/>
            </w:checkBox>
          </w:ffData>
        </w:fldChar>
      </w:r>
      <w:r>
        <w:rPr>
          <w:sz w:val="20"/>
        </w:rPr>
        <w:instrText xml:space="preserve"> FORMCHECKBOX </w:instrText>
      </w:r>
      <w:r>
        <w:rPr>
          <w:sz w:val="20"/>
        </w:rPr>
        <w:fldChar w:fldCharType="separate"/>
      </w:r>
      <w:bookmarkStart w:id="19" w:name="Check8"/>
      <w:bookmarkStart w:id="20" w:name="Check8"/>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9"/>
            <w:enabled/>
            <w:calcOnExit w:val="0"/>
            <w:checkBox>
              <w:sizeAuto/>
            </w:checkBox>
          </w:ffData>
        </w:fldChar>
      </w:r>
      <w:r>
        <w:rPr>
          <w:sz w:val="20"/>
        </w:rPr>
        <w:instrText xml:space="preserve"> FORMCHECKBOX </w:instrText>
      </w:r>
      <w:r>
        <w:rPr>
          <w:sz w:val="20"/>
        </w:rPr>
        <w:fldChar w:fldCharType="separate"/>
      </w:r>
      <w:bookmarkStart w:id="21" w:name="Check9"/>
      <w:bookmarkStart w:id="22" w:name="Check9"/>
      <w:bookmarkEnd w:id="22"/>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0"/>
            <w:enabled/>
            <w:calcOnExit w:val="0"/>
            <w:checkBox>
              <w:sizeAuto/>
            </w:checkBox>
          </w:ffData>
        </w:fldChar>
      </w:r>
      <w:r>
        <w:rPr>
          <w:sz w:val="20"/>
        </w:rPr>
        <w:instrText xml:space="preserve"> FORMCHECKBOX </w:instrText>
      </w:r>
      <w:r>
        <w:rPr>
          <w:sz w:val="20"/>
        </w:rPr>
        <w:fldChar w:fldCharType="separate"/>
      </w:r>
      <w:bookmarkStart w:id="23" w:name="Check10"/>
      <w:bookmarkStart w:id="24" w:name="Check10"/>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Unnamed Copy 1"/>
            <w:enabled/>
            <w:calcOnExit w:val="0"/>
            <w:checkBox>
              <w:sizeAuto/>
              <w:checked/>
            </w:checkBox>
          </w:ffData>
        </w:fldChar>
      </w:r>
      <w:r>
        <w:rPr>
          <w:sz w:val="20"/>
        </w:rPr>
        <w:instrText xml:space="preserve"> FORMCHECKBOX </w:instrText>
      </w:r>
      <w:r>
        <w:rPr>
          <w:sz w:val="20"/>
        </w:rPr>
        <w:fldChar w:fldCharType="separate"/>
      </w:r>
      <w:bookmarkStart w:id="25" w:name="Unnamed_Copy_1"/>
      <w:bookmarkStart w:id="26" w:name="Unnamed_Copy_1"/>
      <w:bookmarkEnd w:id="26"/>
      <w:r>
        <w:rPr>
          <w:sz w:val="20"/>
        </w:rPr>
      </w:r>
      <w:r>
        <w:rPr>
          <w:sz w:val="20"/>
        </w:rPr>
        <w:fldChar w:fldCharType="end"/>
      </w:r>
      <w:r>
        <w:rPr>
          <w:sz w:val="20"/>
        </w:rPr>
        <w:t xml:space="preserve"> Other:  Sydney,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1"/>
            <w:enabled/>
            <w:calcOnExit w:val="0"/>
            <w:checkBox>
              <w:sizeAuto/>
            </w:checkBox>
          </w:ffData>
        </w:fldChar>
      </w:r>
      <w:r>
        <w:rPr>
          <w:sz w:val="20"/>
        </w:rPr>
        <w:instrText xml:space="preserve"> FORMCHECKBOX </w:instrText>
      </w:r>
      <w:r>
        <w:rPr>
          <w:sz w:val="20"/>
        </w:rPr>
        <w:fldChar w:fldCharType="separate"/>
      </w:r>
      <w:bookmarkStart w:id="27" w:name="Check11"/>
      <w:bookmarkStart w:id="28" w:name="Check11"/>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Unnamed Copy 2"/>
            <w:enabled/>
            <w:calcOnExit w:val="0"/>
            <w:checkBox>
              <w:sizeAuto/>
              <w:checked/>
            </w:checkBox>
          </w:ffData>
        </w:fldChar>
      </w:r>
      <w:r>
        <w:rPr>
          <w:sz w:val="20"/>
        </w:rPr>
        <w:instrText xml:space="preserve"> FORMCHECKBOX </w:instrText>
      </w:r>
      <w:r>
        <w:rPr>
          <w:sz w:val="20"/>
        </w:rPr>
        <w:fldChar w:fldCharType="separate"/>
      </w:r>
      <w:bookmarkStart w:id="29" w:name="Unnamed_Copy_2"/>
      <w:bookmarkStart w:id="30" w:name="Unnamed_Copy_2"/>
      <w:bookmarkEnd w:id="30"/>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2"/>
            <w:enabled/>
            <w:calcOnExit w:val="0"/>
            <w:checkBox>
              <w:sizeAuto/>
            </w:checkBox>
          </w:ffData>
        </w:fldChar>
      </w:r>
      <w:r>
        <w:rPr>
          <w:sz w:val="20"/>
        </w:rPr>
        <w:instrText xml:space="preserve"> FORMCHECKBOX </w:instrText>
      </w:r>
      <w:r>
        <w:rPr>
          <w:sz w:val="20"/>
        </w:rPr>
        <w:fldChar w:fldCharType="separate"/>
      </w:r>
      <w:bookmarkStart w:id="31" w:name="Check12"/>
      <w:bookmarkStart w:id="32" w:name="Check12"/>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3"/>
            <w:enabled/>
            <w:calcOnExit w:val="0"/>
            <w:checkBox>
              <w:sizeAuto/>
            </w:checkBox>
          </w:ffData>
        </w:fldChar>
      </w:r>
      <w:r>
        <w:rPr>
          <w:sz w:val="20"/>
          <w:b/>
        </w:rPr>
        <w:instrText xml:space="preserve"> FORMCHECKBOX </w:instrText>
      </w:r>
      <w:r>
        <w:rPr>
          <w:sz w:val="20"/>
          <w:b/>
        </w:rPr>
        <w:fldChar w:fldCharType="separate"/>
      </w:r>
      <w:bookmarkStart w:id="33" w:name="Check13"/>
      <w:bookmarkStart w:id="34" w:name="Check13"/>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35" w:name="Check17"/>
      <w:bookmarkStart w:id="36" w:name="Check17"/>
      <w:bookmarkEnd w:id="36"/>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8"/>
            <w:enabled/>
            <w:calcOnExit w:val="0"/>
            <w:checkBox>
              <w:sizeAuto/>
            </w:checkBox>
          </w:ffData>
        </w:fldChar>
      </w:r>
      <w:r>
        <w:rPr>
          <w:sz w:val="20"/>
        </w:rPr>
        <w:instrText xml:space="preserve"> FORMCHECKBOX </w:instrText>
      </w:r>
      <w:r>
        <w:rPr>
          <w:sz w:val="20"/>
        </w:rPr>
        <w:fldChar w:fldCharType="separate"/>
      </w:r>
      <w:bookmarkStart w:id="37" w:name="Check18"/>
      <w:bookmarkStart w:id="38" w:name="Check18"/>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9"/>
            <w:enabled/>
            <w:calcOnExit w:val="0"/>
            <w:checkBox>
              <w:sizeAuto/>
            </w:checkBox>
          </w:ffData>
        </w:fldChar>
      </w:r>
      <w:r>
        <w:rPr>
          <w:sz w:val="20"/>
          <w:b/>
        </w:rPr>
        <w:instrText xml:space="preserve"> FORMCHECKBOX </w:instrText>
      </w:r>
      <w:r>
        <w:rPr>
          <w:sz w:val="20"/>
          <w:b/>
        </w:rPr>
        <w:fldChar w:fldCharType="separate"/>
      </w:r>
      <w:bookmarkStart w:id="39" w:name="Check19"/>
      <w:bookmarkStart w:id="40" w:name="Check19"/>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3"/>
            <w:enabled/>
            <w:calcOnExit w:val="0"/>
            <w:checkBox>
              <w:sizeAuto/>
              <w:checked/>
            </w:checkBox>
          </w:ffData>
        </w:fldChar>
      </w:r>
      <w:r>
        <w:rPr>
          <w:sz w:val="20"/>
          <w:b/>
        </w:rPr>
        <w:instrText xml:space="preserve"> FORMCHECKBOX </w:instrText>
      </w:r>
      <w:r>
        <w:rPr>
          <w:sz w:val="20"/>
          <w:b/>
        </w:rPr>
        <w:fldChar w:fldCharType="separate"/>
      </w:r>
      <w:bookmarkStart w:id="41" w:name="Unnamed_Copy_3"/>
      <w:bookmarkStart w:id="42" w:name="Unnamed_Copy_3"/>
      <w:bookmarkEnd w:id="42"/>
      <w:r>
        <w:rPr>
          <w:b/>
          <w:sz w:val="20"/>
        </w:rPr>
      </w:r>
      <w:r>
        <w:rPr>
          <w:sz w:val="20"/>
          <w:b/>
        </w:rPr>
        <w:fldChar w:fldCharType="end"/>
      </w:r>
      <w:r>
        <w:rPr>
          <w:sz w:val="20"/>
        </w:rPr>
        <w:t xml:space="preserve"> Other:  Australian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2"/>
            <w:enabled/>
            <w:calcOnExit w:val="0"/>
            <w:checkBox>
              <w:sizeAuto/>
            </w:checkBox>
          </w:ffData>
        </w:fldChar>
      </w:r>
      <w:r>
        <w:rPr>
          <w:sz w:val="20"/>
        </w:rPr>
        <w:instrText xml:space="preserve"> FORMCHECKBOX </w:instrText>
      </w:r>
      <w:r>
        <w:rPr>
          <w:sz w:val="20"/>
        </w:rPr>
        <w:fldChar w:fldCharType="separate"/>
      </w:r>
      <w:bookmarkStart w:id="43" w:name="Check22"/>
      <w:bookmarkStart w:id="44" w:name="Check22"/>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3"/>
            <w:enabled/>
            <w:calcOnExit w:val="0"/>
            <w:checkBox>
              <w:sizeAuto/>
            </w:checkBox>
          </w:ffData>
        </w:fldChar>
      </w:r>
      <w:r>
        <w:rPr>
          <w:sz w:val="20"/>
        </w:rPr>
        <w:instrText xml:space="preserve"> FORMCHECKBOX </w:instrText>
      </w:r>
      <w:r>
        <w:rPr>
          <w:sz w:val="20"/>
        </w:rPr>
        <w:fldChar w:fldCharType="separate"/>
      </w:r>
      <w:bookmarkStart w:id="45" w:name="Check23"/>
      <w:bookmarkStart w:id="46" w:name="Check23"/>
      <w:bookmarkEnd w:id="46"/>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6"/>
            <w:enabled/>
            <w:calcOnExit w:val="0"/>
            <w:checkBox>
              <w:sizeAuto/>
            </w:checkBox>
          </w:ffData>
        </w:fldChar>
      </w:r>
      <w:r>
        <w:rPr>
          <w:sz w:val="20"/>
        </w:rPr>
        <w:instrText xml:space="preserve"> FORMCHECKBOX </w:instrText>
      </w:r>
      <w:r>
        <w:rPr>
          <w:sz w:val="20"/>
        </w:rPr>
        <w:fldChar w:fldCharType="separate"/>
      </w:r>
      <w:bookmarkStart w:id="47" w:name="Check26"/>
      <w:bookmarkStart w:id="48" w:name="Check26"/>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w:enabled/>
            <w:calcOnExit w:val="0"/>
            <w:checkBox>
              <w:sizeAuto/>
              <w:checked/>
            </w:checkBox>
          </w:ffData>
        </w:fldChar>
      </w:r>
      <w:r>
        <w:rPr>
          <w:sz w:val="20"/>
        </w:rPr>
        <w:instrText xml:space="preserve"> FORMCHECKBOX </w:instrText>
      </w:r>
      <w:r>
        <w:rPr>
          <w:sz w:val="20"/>
        </w:rPr>
        <w:fldChar w:fldCharType="separate"/>
      </w:r>
      <w:bookmarkStart w:id="49" w:name="Check6"/>
      <w:bookmarkStart w:id="50" w:name="Check6"/>
      <w:bookmarkEnd w:id="50"/>
      <w:r>
        <w:rPr>
          <w:sz w:val="20"/>
        </w:rPr>
      </w:r>
      <w:r>
        <w:rPr>
          <w:sz w:val="20"/>
        </w:rPr>
        <w:fldChar w:fldCharType="end"/>
      </w:r>
      <w:r>
        <w:rPr>
          <w:sz w:val="20"/>
        </w:rPr>
        <w:t xml:space="preserve"> Other:  National Australia Bank</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27"/>
            <w:enabled/>
            <w:calcOnExit w:val="0"/>
            <w:checkBox>
              <w:sizeAuto/>
            </w:checkBox>
          </w:ffData>
        </w:fldChar>
      </w:r>
      <w:r>
        <w:rPr>
          <w:sz w:val="20"/>
          <w:b/>
        </w:rPr>
        <w:instrText xml:space="preserve"> FORMCHECKBOX </w:instrText>
      </w:r>
      <w:r>
        <w:rPr>
          <w:sz w:val="20"/>
          <w:b/>
        </w:rPr>
        <w:fldChar w:fldCharType="separate"/>
      </w:r>
      <w:bookmarkStart w:id="51" w:name="Check27"/>
      <w:bookmarkStart w:id="52" w:name="Check27"/>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8"/>
            <w:enabled/>
            <w:calcOnExit w:val="0"/>
            <w:checkBox>
              <w:sizeAuto/>
            </w:checkBox>
          </w:ffData>
        </w:fldChar>
      </w:r>
      <w:r>
        <w:rPr>
          <w:sz w:val="20"/>
        </w:rPr>
        <w:instrText xml:space="preserve"> FORMCHECKBOX </w:instrText>
      </w:r>
      <w:r>
        <w:rPr>
          <w:sz w:val="20"/>
        </w:rPr>
        <w:fldChar w:fldCharType="separate"/>
      </w:r>
      <w:bookmarkStart w:id="53" w:name="Check28"/>
      <w:bookmarkStart w:id="54" w:name="Check28"/>
      <w:bookmarkEnd w:id="5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9"/>
            <w:enabled/>
            <w:calcOnExit w:val="0"/>
            <w:checkBox>
              <w:sizeAuto/>
            </w:checkBox>
          </w:ffData>
        </w:fldChar>
      </w:r>
      <w:r>
        <w:rPr>
          <w:sz w:val="20"/>
        </w:rPr>
        <w:instrText xml:space="preserve"> FORMCHECKBOX </w:instrText>
      </w:r>
      <w:r>
        <w:rPr>
          <w:sz w:val="20"/>
        </w:rPr>
        <w:fldChar w:fldCharType="separate"/>
      </w:r>
      <w:bookmarkStart w:id="55" w:name="Check29"/>
      <w:bookmarkStart w:id="56" w:name="Check29"/>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4"/>
            <w:enabled/>
            <w:calcOnExit w:val="0"/>
            <w:checkBox>
              <w:sizeAuto/>
              <w:checked/>
            </w:checkBox>
          </w:ffData>
        </w:fldChar>
      </w:r>
      <w:r>
        <w:rPr>
          <w:sz w:val="20"/>
          <w:b/>
        </w:rPr>
        <w:instrText xml:space="preserve"> FORMCHECKBOX </w:instrText>
      </w:r>
      <w:r>
        <w:rPr>
          <w:sz w:val="20"/>
          <w:b/>
        </w:rPr>
        <w:fldChar w:fldCharType="separate"/>
      </w:r>
      <w:bookmarkStart w:id="57" w:name="Unnamed_Copy_4"/>
      <w:bookmarkStart w:id="58" w:name="Unnamed_Copy_4"/>
      <w:bookmarkEnd w:id="58"/>
      <w:r>
        <w:rPr>
          <w:b/>
          <w:sz w:val="20"/>
        </w:rPr>
      </w:r>
      <w:r>
        <w:rPr>
          <w:sz w:val="20"/>
          <w:b/>
        </w:rPr>
        <w:fldChar w:fldCharType="end"/>
      </w:r>
      <w:r>
        <w:rPr>
          <w:sz w:val="20"/>
        </w:rPr>
        <w:t xml:space="preserve"> Other:  Australia</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0"/>
            <w:enabled/>
            <w:calcOnExit w:val="0"/>
            <w:checkBox>
              <w:sizeAuto/>
            </w:checkBox>
          </w:ffData>
        </w:fldChar>
      </w:r>
      <w:r>
        <w:rPr>
          <w:sz w:val="20"/>
          <w:b/>
        </w:rPr>
        <w:instrText xml:space="preserve"> FORMCHECKBOX </w:instrText>
      </w:r>
      <w:r>
        <w:rPr>
          <w:sz w:val="20"/>
          <w:b/>
        </w:rPr>
        <w:fldChar w:fldCharType="separate"/>
      </w:r>
      <w:bookmarkStart w:id="59" w:name="Check30"/>
      <w:bookmarkStart w:id="60" w:name="Check30"/>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1"/>
            <w:enabled/>
            <w:calcOnExit w:val="0"/>
            <w:checkBox>
              <w:sizeAuto/>
            </w:checkBox>
          </w:ffData>
        </w:fldChar>
      </w:r>
      <w:r>
        <w:rPr>
          <w:sz w:val="20"/>
        </w:rPr>
        <w:instrText xml:space="preserve"> FORMCHECKBOX </w:instrText>
      </w:r>
      <w:r>
        <w:rPr>
          <w:sz w:val="20"/>
        </w:rPr>
        <w:fldChar w:fldCharType="separate"/>
      </w:r>
      <w:bookmarkStart w:id="61" w:name="Check31"/>
      <w:bookmarkStart w:id="62" w:name="Check31"/>
      <w:bookmarkEnd w:id="62"/>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2"/>
            <w:enabled/>
            <w:calcOnExit w:val="0"/>
            <w:checkBox>
              <w:sizeAuto/>
            </w:checkBox>
          </w:ffData>
        </w:fldChar>
      </w:r>
      <w:r>
        <w:rPr>
          <w:sz w:val="20"/>
        </w:rPr>
        <w:instrText xml:space="preserve"> FORMCHECKBOX </w:instrText>
      </w:r>
      <w:r>
        <w:rPr>
          <w:sz w:val="20"/>
        </w:rPr>
        <w:fldChar w:fldCharType="separate"/>
      </w:r>
      <w:bookmarkStart w:id="63" w:name="Check32"/>
      <w:bookmarkStart w:id="64" w:name="Check32"/>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5"/>
            <w:enabled/>
            <w:calcOnExit w:val="0"/>
            <w:checkBox>
              <w:sizeAuto/>
              <w:checked/>
            </w:checkBox>
          </w:ffData>
        </w:fldChar>
      </w:r>
      <w:r>
        <w:rPr>
          <w:sz w:val="20"/>
          <w:b/>
        </w:rPr>
        <w:instrText xml:space="preserve"> FORMCHECKBOX </w:instrText>
      </w:r>
      <w:r>
        <w:rPr>
          <w:sz w:val="20"/>
          <w:b/>
        </w:rPr>
        <w:fldChar w:fldCharType="separate"/>
      </w:r>
      <w:bookmarkStart w:id="65" w:name="Unnamed_Copy_5"/>
      <w:bookmarkStart w:id="66" w:name="Unnamed_Copy_5"/>
      <w:bookmarkEnd w:id="66"/>
      <w:r>
        <w:rPr>
          <w:b/>
          <w:sz w:val="20"/>
        </w:rPr>
      </w:r>
      <w:r>
        <w:rPr>
          <w:sz w:val="20"/>
          <w:b/>
        </w:rPr>
        <w:fldChar w:fldCharType="end"/>
      </w:r>
      <w:r>
        <w:rPr>
          <w:sz w:val="20"/>
        </w:rPr>
        <w:t xml:space="preserve"> Other: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ed/>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69" w:name="Check17_Copy_1"/>
      <w:bookmarkStart w:id="70" w:name="Check17_Copy_1"/>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rPr>
          <w:u w:val="single"/>
        </w:rPr>
      </w:pPr>
      <w:r>
        <w:rPr/>
        <w:tab/>
        <w:t>Name of other Person:  Enron Corp.</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U.S. $100,000,000</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Unnamed Copy 6"/>
            <w:enabled/>
            <w:calcOnExit w:val="0"/>
            <w:checkBox>
              <w:sizeAuto/>
              <w:checked/>
            </w:checkBox>
          </w:ffData>
        </w:fldChar>
      </w:r>
      <w:r>
        <w:rPr>
          <w:sz w:val="20"/>
        </w:rPr>
        <w:instrText xml:space="preserve"> FORMCHECKBOX </w:instrText>
      </w:r>
      <w:r>
        <w:rPr>
          <w:sz w:val="20"/>
        </w:rPr>
        <w:fldChar w:fldCharType="separate"/>
      </w:r>
      <w:bookmarkStart w:id="71" w:name="Unnamed_Copy_6"/>
      <w:bookmarkStart w:id="72" w:name="Unnamed_Copy_6"/>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3" w:name="Check17_Copy_2"/>
      <w:bookmarkStart w:id="74" w:name="Check17_Copy_2"/>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AUD 500,000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7"/>
            <w:enabled/>
            <w:calcOnExit w:val="0"/>
            <w:checkBox>
              <w:sizeAuto/>
              <w:checked/>
            </w:checkBox>
          </w:ffData>
        </w:fldChar>
      </w:r>
      <w:r>
        <w:rPr>
          <w:sz w:val="20"/>
        </w:rPr>
        <w:instrText xml:space="preserve"> FORMCHECKBOX </w:instrText>
      </w:r>
      <w:r>
        <w:rPr>
          <w:sz w:val="20"/>
        </w:rPr>
        <w:fldChar w:fldCharType="separate"/>
      </w:r>
      <w:bookmarkStart w:id="75" w:name="Unnamed_Copy_7"/>
      <w:bookmarkStart w:id="76" w:name="Unnamed_Copy_7"/>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77" w:name="Check17_Copy_3"/>
      <w:bookmarkStart w:id="78" w:name="Check17_Copy_3"/>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AUD 10,000,000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AUD 250,000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8"/>
            <w:enabled/>
            <w:calcOnExit w:val="0"/>
            <w:checkBox>
              <w:sizeAuto/>
              <w:checked/>
            </w:checkBox>
          </w:ffData>
        </w:fldChar>
      </w:r>
      <w:r>
        <w:rPr>
          <w:sz w:val="20"/>
        </w:rPr>
        <w:instrText xml:space="preserve"> FORMCHECKBOX </w:instrText>
      </w:r>
      <w:r>
        <w:rPr>
          <w:sz w:val="20"/>
        </w:rPr>
        <w:fldChar w:fldCharType="separate"/>
      </w:r>
      <w:bookmarkStart w:id="79" w:name="Unnamed_Copy_8"/>
      <w:bookmarkStart w:id="80" w:name="Unnamed_Copy_8"/>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4"/>
            <w:enabled/>
            <w:calcOnExit w:val="0"/>
            <w:checkBox>
              <w:sizeAuto/>
            </w:checkBox>
          </w:ffData>
        </w:fldChar>
      </w:r>
      <w:r>
        <w:rPr>
          <w:sz w:val="20"/>
        </w:rPr>
        <w:instrText xml:space="preserve"> FORMCHECKBOX </w:instrText>
      </w:r>
      <w:r>
        <w:rPr>
          <w:sz w:val="20"/>
        </w:rPr>
        <w:fldChar w:fldCharType="separate"/>
      </w:r>
      <w:bookmarkStart w:id="81" w:name="Check17_Copy_4"/>
      <w:bookmarkStart w:id="82" w:name="Check17_Copy_4"/>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AUD 1,000,000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AUD 250,000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ed/>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33"/>
            <w:enabled/>
            <w:calcOnExit w:val="0"/>
            <w:checkBox>
              <w:sizeAuto/>
            </w:checkBox>
          </w:ffData>
        </w:fldChar>
      </w:r>
      <w:r>
        <w:rPr>
          <w:sz w:val="20"/>
        </w:rPr>
        <w:instrText xml:space="preserve"> FORMCHECKBOX </w:instrText>
      </w:r>
      <w:r>
        <w:rPr>
          <w:sz w:val="20"/>
        </w:rPr>
        <w:fldChar w:fldCharType="separate"/>
      </w:r>
      <w:bookmarkStart w:id="85" w:name="Check33"/>
      <w:bookmarkStart w:id="86" w:name="Check33"/>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Enron Corp.</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AUD 10,000,000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34"/>
            <w:enabled/>
            <w:calcOnExit w:val="0"/>
            <w:checkBox>
              <w:sizeAuto/>
            </w:checkBox>
          </w:ffData>
        </w:fldChar>
      </w:r>
      <w:r>
        <w:rPr>
          <w:sz w:val="20"/>
        </w:rPr>
        <w:instrText xml:space="preserve"> FORMCHECKBOX </w:instrText>
      </w:r>
      <w:r>
        <w:rPr>
          <w:sz w:val="20"/>
        </w:rPr>
        <w:fldChar w:fldCharType="separate"/>
      </w:r>
      <w:bookmarkStart w:id="87" w:name="Check34"/>
      <w:bookmarkStart w:id="88" w:name="Check34"/>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ed/>
            </w:checkBox>
          </w:ffData>
        </w:fldChar>
      </w:r>
      <w:r>
        <w:rPr>
          <w:sz w:val="20"/>
        </w:rPr>
        <w:instrText xml:space="preserve"> FORMCHECKBOX </w:instrText>
      </w:r>
      <w:r>
        <w:rPr>
          <w:sz w:val="20"/>
        </w:rPr>
        <w:fldChar w:fldCharType="separate"/>
      </w:r>
      <w:bookmarkStart w:id="89" w:name="Check25"/>
      <w:bookmarkStart w:id="90" w:name="Check25"/>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ed/>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35"/>
            <w:enabled/>
            <w:calcOnExit w:val="0"/>
            <w:checkBox>
              <w:sizeAuto/>
            </w:checkBox>
          </w:ffData>
        </w:fldChar>
      </w:r>
      <w:r>
        <w:rPr>
          <w:sz w:val="20"/>
        </w:rPr>
        <w:instrText xml:space="preserve"> FORMCHECKBOX </w:instrText>
      </w:r>
      <w:r>
        <w:rPr>
          <w:sz w:val="20"/>
        </w:rPr>
        <w:fldChar w:fldCharType="separate"/>
      </w:r>
      <w:bookmarkStart w:id="93" w:name="Check35"/>
      <w:bookmarkStart w:id="94" w:name="Check35"/>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If applicable, Material Adverse Change with respect to Party A means:  its Guarantor's Credit Rating is rated below "BBB-" by S&amp;P.</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Unnamed Copy 9"/>
            <w:enabled/>
            <w:calcOnExit w:val="0"/>
            <w:checkBox>
              <w:sizeAuto/>
              <w:checked/>
            </w:checkBox>
          </w:ffData>
        </w:fldChar>
      </w:r>
      <w:r>
        <w:rPr>
          <w:sz w:val="20"/>
        </w:rPr>
        <w:instrText xml:space="preserve"> FORMCHECKBOX </w:instrText>
      </w:r>
      <w:r>
        <w:rPr>
          <w:sz w:val="20"/>
        </w:rPr>
        <w:fldChar w:fldCharType="separate"/>
      </w:r>
      <w:bookmarkStart w:id="95" w:name="Unnamed_Copy_9"/>
      <w:bookmarkStart w:id="96" w:name="Unnamed_Copy_9"/>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36"/>
            <w:enabled/>
            <w:calcOnExit w:val="0"/>
            <w:checkBox>
              <w:sizeAuto/>
            </w:checkBox>
          </w:ffData>
        </w:fldChar>
      </w:r>
      <w:r>
        <w:rPr>
          <w:sz w:val="20"/>
        </w:rPr>
        <w:instrText xml:space="preserve"> FORMCHECKBOX </w:instrText>
      </w:r>
      <w:r>
        <w:rPr>
          <w:sz w:val="20"/>
        </w:rPr>
        <w:fldChar w:fldCharType="separate"/>
      </w:r>
      <w:bookmarkStart w:id="97" w:name="Check36"/>
      <w:bookmarkStart w:id="98" w:name="Check36"/>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If applicable, Material Adverse Change with respect to Party B means:  the creditworthiness is, in the reasonable opinion of Party A, materially weaker than the creditworthiness as at the date of this Agreement (or, if one or more requests for a guarantee or credit enhancement have been made by Party A under this Agreement, then as at the date on which the last such request for a guarantee or credit enhancement was made by Party A).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37"/>
            <w:enabled/>
            <w:calcOnExit w:val="0"/>
            <w:checkBox>
              <w:sizeAuto/>
            </w:checkBox>
          </w:ffData>
        </w:fldChar>
      </w:r>
      <w:r>
        <w:rPr>
          <w:sz w:val="20"/>
        </w:rPr>
        <w:instrText xml:space="preserve"> FORMCHECKBOX </w:instrText>
      </w:r>
      <w:r>
        <w:rPr>
          <w:sz w:val="20"/>
        </w:rPr>
        <w:fldChar w:fldCharType="separate"/>
      </w:r>
      <w:bookmarkStart w:id="99" w:name="Check37"/>
      <w:bookmarkStart w:id="100" w:name="Check37"/>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w:enabled/>
            <w:calcOnExit w:val="0"/>
            <w:checkBox>
              <w:sizeAuto/>
              <w:checked/>
            </w:checkBox>
          </w:ffData>
        </w:fldChar>
      </w:r>
      <w:r>
        <w:rPr>
          <w:sz w:val="20"/>
        </w:rPr>
        <w:instrText xml:space="preserve"> FORMCHECKBOX </w:instrText>
      </w:r>
      <w:r>
        <w:rPr>
          <w:sz w:val="20"/>
        </w:rPr>
        <w:fldChar w:fldCharType="separate"/>
      </w:r>
      <w:bookmarkStart w:id="101" w:name="Check21"/>
      <w:bookmarkStart w:id="102" w:name="Check21"/>
      <w:bookmarkEnd w:id="102"/>
      <w:r>
        <w:rPr>
          <w:sz w:val="20"/>
        </w:rPr>
      </w:r>
      <w:r>
        <w:rPr>
          <w:sz w:val="20"/>
        </w:rPr>
        <w:fldChar w:fldCharType="end"/>
      </w:r>
      <w:r>
        <w:rPr>
          <w:sz w:val="20"/>
        </w:rPr>
        <w:t xml:space="preserve"> Other:  The National Australia Bank reference rate.</w:t>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8"/>
          <w:footerReference w:type="default" r:id="rId19"/>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Enron Broadband Services Asia/Pacific Pte Ltd. ("</w:t>
      </w:r>
      <w:r>
        <w:rPr>
          <w:sz w:val="20"/>
          <w:u w:val="single"/>
        </w:rPr>
        <w:t>Party A</w:t>
      </w:r>
      <w:r>
        <w:rPr>
          <w:sz w:val="20"/>
        </w:rPr>
        <w:t>") and Uecomm Operations Pty Limited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20"/>
      <w:footerReference w:type="default" r:id="rId21"/>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/mnt/main-storage/datasets/enron-docs/doc/001actr_uecomm_.doc</w:t>
    </w:r>
    <w:r>
      <w:rPr>
        <w:sz w:val="16"/>
      </w:rPr>
      <w:fldChar w:fldCharType="end"/>
    </w:r>
  </w:p>
  <w:p>
    <w:pPr>
      <w:pStyle w:val="Footer"/>
      <w:jc w:val="center"/>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18"/>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2432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ind w:end="360"/>
                      <w:rPr>
                        <w:rStyle w:val="PageNumber"/>
                      </w:rPr>
                    </w:pPr>
                    <w:r>
                      <w:rPr/>
                    </w:r>
                  </w:p>
                </w:txbxContent>
              </v:textbox>
              <w10:wrap type="square"/>
            </v:rect>
          </w:pict>
        </mc:Fallback>
      </mc:AlternateConten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/mnt/main-storage/datasets/enron-docs/doc/001actr_uecomm_.doc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w:rPr>
        <w:rStyle w:val="PageNumber"/>
        <w:sz w:val="18"/>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/mnt/main-storage/datasets/enron-docs/doc/001actr_uecomm_.doc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ab/>
      <w:tab/>
      <w:tab/>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/mnt/main-storage/datasets/enron-docs/doc/001actr_uecomm_.doc</w:t>
    </w:r>
    <w:r>
      <w:rPr>
        <w:sz w:val="16"/>
      </w:rPr>
      <w:fldChar w:fldCharType="end"/>
    </w:r>
  </w:p>
  <w:p>
    <w:pPr>
      <w:pStyle w:val="Footer"/>
      <w:jc w:val="cen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ab/>
      <w:tab/>
      <w:tab/>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/mnt/main-storage/datasets/enron-docs/doc/001actr_uecomm_.doc</w:t>
    </w:r>
    <w:r>
      <w:rPr>
        <w:sz w:val="16"/>
      </w:rPr>
      <w:fldChar w:fldCharType="end"/>
    </w:r>
  </w:p>
  <w:p>
    <w:pPr>
      <w:pStyle w:val="Footer"/>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p>
    <w:pPr>
      <w:pStyle w:val="Header"/>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p>
    <w:pPr>
      <w:pStyle w:val="Header"/>
      <w:jc w:val="end"/>
      <w:rPr>
        <w:b/>
        <w:bCs/>
      </w:rPr>
    </w:pPr>
    <w:r>
      <w:rPr>
        <w:b/>
        <w:bCs/>
      </w:rPr>
    </w:r>
  </w:p>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rPr>
        <w:b/>
      </w:rPr>
    </w:pPr>
    <w:r>
      <w:rPr>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6"/>
      <w:numFmt w:val="decimal"/>
      <w:lvlText w:val="%1."/>
      <w:lvlJc w:val="start"/>
      <w:pPr>
        <w:tabs>
          <w:tab w:val="num" w:pos="1080"/>
        </w:tabs>
        <w:ind w:start="1080" w:hanging="720"/>
      </w:pPr>
      <w:rPr>
        <w:b/>
      </w:rPr>
    </w:lvl>
  </w:abstractNum>
  <w:abstractNum w:abstractNumId="17">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9">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b/>
    </w:rPr>
  </w:style>
  <w:style w:type="character" w:styleId="WW8Num73z0">
    <w:name w:val="WW8Num73z0"/>
    <w:qFormat/>
    <w:rPr>
      <w:rFonts w:ascii="Symbol" w:hAnsi="Symbol" w:cs="Symbol"/>
    </w:rPr>
  </w:style>
  <w:style w:type="character" w:styleId="WW8Num74z0">
    <w:name w:val="WW8Num74z0"/>
    <w:qFormat/>
    <w:rPr>
      <w:b/>
      <w:u w:val="single"/>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b/>
      <w:u w:val="single"/>
    </w:rPr>
  </w:style>
  <w:style w:type="character" w:styleId="WW8Num78z0">
    <w:name w:val="WW8Num78z0"/>
    <w:qFormat/>
    <w:rPr>
      <w:rFonts w:ascii="Wingdings" w:hAnsi="Wingdings" w:cs="Wingdings"/>
    </w:rPr>
  </w:style>
  <w:style w:type="character" w:styleId="WW8Num79z0">
    <w:name w:val="WW8Num79z0"/>
    <w:qFormat/>
    <w:rPr>
      <w:b/>
      <w:u w:val="single"/>
    </w:rPr>
  </w:style>
  <w:style w:type="character" w:styleId="WW8Num80z0">
    <w:name w:val="WW8Num80z0"/>
    <w:qFormat/>
    <w:rPr>
      <w:rFonts w:ascii="Times New Roman" w:hAnsi="Times New Roman" w:cs="Times New Roman"/>
      <w:b/>
      <w:i w:val="false"/>
      <w:caps/>
      <w:sz w:val="24"/>
    </w:rPr>
  </w:style>
  <w:style w:type="character" w:styleId="WW8Num80z1">
    <w:name w:val="WW8Num80z1"/>
    <w:qFormat/>
    <w:rPr>
      <w:rFonts w:ascii="Times New Roman" w:hAnsi="Times New Roman" w:cs="Times New Roman"/>
      <w:b w:val="false"/>
      <w:i w:val="false"/>
      <w:sz w:val="24"/>
      <w:u w:val="none"/>
    </w:rPr>
  </w:style>
  <w:style w:type="character" w:styleId="WW8Num80z2">
    <w:name w:val="WW8Num80z2"/>
    <w:qFormat/>
    <w:rPr>
      <w:rFonts w:ascii="Times New Roman" w:hAnsi="Times New Roman" w:cs="Times New Roman"/>
      <w:b w:val="false"/>
      <w:i w:val="false"/>
      <w:sz w:val="24"/>
    </w:rPr>
  </w:style>
  <w:style w:type="character" w:styleId="WW8Num80z5">
    <w:name w:val="WW8Num80z5"/>
    <w:qFormat/>
    <w:rPr>
      <w:rFonts w:ascii="Times New Roman" w:hAnsi="Times New Roman" w:cs="Times New Roman"/>
      <w:b/>
      <w:i w:val="false"/>
      <w:sz w:val="24"/>
      <w:u w:val="none"/>
    </w:rPr>
  </w:style>
  <w:style w:type="character" w:styleId="WW8Num81z0">
    <w:name w:val="WW8Num81z0"/>
    <w:qFormat/>
    <w:rPr>
      <w:sz w:val="18"/>
    </w:rPr>
  </w:style>
  <w:style w:type="character" w:styleId="WW8Num82z0">
    <w:name w:val="WW8Num82z0"/>
    <w:qFormat/>
    <w:rPr>
      <w:rFonts w:ascii="Wingdings" w:hAnsi="Wingdings" w:cs="Wingdings"/>
    </w:rPr>
  </w:style>
  <w:style w:type="character" w:styleId="WW8Num83z0">
    <w:name w:val="WW8Num83z0"/>
    <w:qFormat/>
    <w:rPr>
      <w:b/>
      <w:u w:val="single"/>
    </w:rPr>
  </w:style>
  <w:style w:type="character" w:styleId="WW8Num84z0">
    <w:name w:val="WW8Num84z0"/>
    <w:qFormat/>
    <w:rPr/>
  </w:style>
  <w:style w:type="character" w:styleId="WW8Num84z1">
    <w:name w:val="WW8Num84z1"/>
    <w:qFormat/>
    <w:rPr>
      <w:b/>
    </w:rPr>
  </w:style>
  <w:style w:type="character" w:styleId="WW8Num85z0">
    <w:name w:val="WW8Num85z0"/>
    <w:qFormat/>
    <w:rPr/>
  </w:style>
  <w:style w:type="character" w:styleId="WW8Num85z1">
    <w:name w:val="WW8Num85z1"/>
    <w:qFormat/>
    <w:rPr>
      <w:rFonts w:ascii="Times New Roman" w:hAnsi="Times New Roman" w:cs="Times New Roman"/>
      <w:b w:val="false"/>
      <w:i w:val="false"/>
      <w:sz w:val="24"/>
      <w:u w:val="none"/>
    </w:rPr>
  </w:style>
  <w:style w:type="character" w:styleId="WW8Num85z2">
    <w:name w:val="WW8Num85z2"/>
    <w:qFormat/>
    <w:rPr>
      <w:rFonts w:ascii="Times New Roman" w:hAnsi="Times New Roman" w:cs="Times New Roman"/>
      <w:b w:val="false"/>
      <w:i w:val="false"/>
      <w:sz w:val="24"/>
    </w:rPr>
  </w:style>
  <w:style w:type="character" w:styleId="WW8Num85z5">
    <w:name w:val="WW8Num85z5"/>
    <w:qFormat/>
    <w:rPr>
      <w:rFonts w:ascii="Times New Roman" w:hAnsi="Times New Roman" w:cs="Times New Roman"/>
      <w:b/>
      <w:i w:val="false"/>
      <w:sz w:val="24"/>
      <w:u w:val="none"/>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b/>
      <w:u w:val="single"/>
    </w:rPr>
  </w:style>
  <w:style w:type="character" w:styleId="WW8Num90z0">
    <w:name w:val="WW8Num90z0"/>
    <w:qFormat/>
    <w:rPr>
      <w:rFonts w:ascii="Wingdings" w:hAnsi="Wingdings" w:cs="Wingdings"/>
    </w:rPr>
  </w:style>
  <w:style w:type="character" w:styleId="WW8Num91z0">
    <w:name w:val="WW8Num91z0"/>
    <w:qFormat/>
    <w:rPr/>
  </w:style>
  <w:style w:type="character" w:styleId="WW8Num92z0">
    <w:name w:val="WW8Num92z0"/>
    <w:qFormat/>
    <w:rPr>
      <w:rFonts w:ascii="Times New Roman" w:hAnsi="Times New Roman" w:cs="Times New Roman"/>
      <w:b/>
      <w:i w:val="false"/>
      <w:sz w:val="24"/>
    </w:rPr>
  </w:style>
  <w:style w:type="character" w:styleId="WW8Num92z1">
    <w:name w:val="WW8Num92z1"/>
    <w:qFormat/>
    <w:rPr/>
  </w:style>
  <w:style w:type="character" w:styleId="WW8Num93z0">
    <w:name w:val="WW8Num93z0"/>
    <w:qFormat/>
    <w:rPr/>
  </w:style>
  <w:style w:type="character" w:styleId="WW8Num93z1">
    <w:name w:val="WW8Num93z1"/>
    <w:qFormat/>
    <w:rPr>
      <w:rFonts w:ascii="Times New Roman" w:hAnsi="Times New Roman" w:cs="Times New Roman"/>
      <w:b w:val="false"/>
      <w:i w:val="false"/>
      <w:sz w:val="24"/>
      <w:u w:val="none"/>
    </w:rPr>
  </w:style>
  <w:style w:type="character" w:styleId="WW8Num93z2">
    <w:name w:val="WW8Num93z2"/>
    <w:qFormat/>
    <w:rPr>
      <w:rFonts w:ascii="Times New Roman" w:hAnsi="Times New Roman" w:cs="Times New Roman"/>
      <w:b w:val="false"/>
      <w:i w:val="false"/>
      <w:sz w:val="24"/>
    </w:rPr>
  </w:style>
  <w:style w:type="character" w:styleId="WW8Num93z5">
    <w:name w:val="WW8Num93z5"/>
    <w:qFormat/>
    <w:rPr>
      <w:rFonts w:ascii="Times New Roman" w:hAnsi="Times New Roman" w:cs="Times New Roman"/>
      <w:b/>
      <w:i w:val="false"/>
      <w:sz w:val="24"/>
      <w:u w:val="none"/>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6z0">
    <w:name w:val="WW8Num106z0"/>
    <w:qFormat/>
    <w:rPr>
      <w:rFonts w:ascii="Wingdings" w:hAnsi="Wingdings" w:cs="Wingdings"/>
    </w:rPr>
  </w:style>
  <w:style w:type="character" w:styleId="WW8Num107z0">
    <w:name w:val="WW8Num107z0"/>
    <w:qFormat/>
    <w:rPr/>
  </w:style>
  <w:style w:type="character" w:styleId="WW8Num108z0">
    <w:name w:val="WW8Num108z0"/>
    <w:qFormat/>
    <w:rPr/>
  </w:style>
  <w:style w:type="character" w:styleId="WW8Num109z0">
    <w:name w:val="WW8Num109z0"/>
    <w:qFormat/>
    <w:rPr>
      <w:b/>
      <w:u w:val="single"/>
    </w:rPr>
  </w:style>
  <w:style w:type="character" w:styleId="WW8Num110z0">
    <w:name w:val="WW8Num110z0"/>
    <w:qFormat/>
    <w:rPr/>
  </w:style>
  <w:style w:type="character" w:styleId="WW8Num111z0">
    <w:name w:val="WW8Num111z0"/>
    <w:qFormat/>
    <w:rPr>
      <w:b/>
    </w:rPr>
  </w:style>
  <w:style w:type="character" w:styleId="WW8Num112z0">
    <w:name w:val="WW8Num112z0"/>
    <w:qFormat/>
    <w:rPr/>
  </w:style>
  <w:style w:type="character" w:styleId="WW8Num113z0">
    <w:name w:val="WW8Num113z0"/>
    <w:qFormat/>
    <w:rPr>
      <w:rFonts w:ascii="Times New Roman Bold" w:hAnsi="Times New Roman Bold" w:cs="BauerBodoni-Bold"/>
      <w:b/>
      <w:i w:val="false"/>
      <w:sz w:val="24"/>
    </w:rPr>
  </w:style>
  <w:style w:type="character" w:styleId="WW8Num113z1">
    <w:name w:val="WW8Num113z1"/>
    <w:qFormat/>
    <w:rPr>
      <w:rFonts w:ascii="Times New Roman" w:hAnsi="Times New Roman" w:cs="Times New Roman"/>
      <w:b w:val="false"/>
      <w:i w:val="false"/>
      <w:sz w:val="24"/>
    </w:rPr>
  </w:style>
  <w:style w:type="character" w:styleId="WW8Num114z0">
    <w:name w:val="WW8Num1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 w:hAnsi="Tms Rmn" w:cs="Tms Rm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7"/>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7"/>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7"/>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7"/>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2001-08-13T16:13:00Z</dcterms:created>
  <dc:creator>WordProcessing</dc:creator>
  <dc:description/>
  <dc:language>en-CA</dc:language>
  <cp:lastModifiedBy>mheard</cp:lastModifiedBy>
  <cp:lastPrinted>2001-08-13T13:48:00Z</cp:lastPrinted>
  <dcterms:modified xsi:type="dcterms:W3CDTF">2001-08-13T16:23:00Z</dcterms:modified>
  <cp:revision>3</cp:revision>
  <dc:subject/>
  <dc:title>  </dc:title>
</cp:coreProperties>
</file>