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Initial Meeting Regarding the Development of Futures Contract</w:t>
      </w:r>
    </w:p>
    <w:p>
      <w:pPr>
        <w:pStyle w:val="Normal"/>
        <w:rPr>
          <w:rFonts w:ascii="Arial" w:hAnsi="Arial" w:cs="Arial"/>
          <w:sz w:val="24"/>
        </w:rPr>
      </w:pPr>
      <w:r>
        <w:rPr>
          <w:rFonts w:cs="Arial" w:ascii="Arial" w:hAnsi="Arial"/>
          <w:sz w:val="24"/>
        </w:rPr>
      </w:r>
    </w:p>
    <w:p>
      <w:pPr>
        <w:pStyle w:val="Heading2"/>
        <w:ind w:hanging="0" w:start="0"/>
        <w:rPr/>
      </w:pPr>
      <w:r>
        <w:rPr>
          <w:b/>
        </w:rPr>
        <w:t>Attendees:</w:t>
      </w:r>
      <w:r>
        <w:rPr/>
        <w:tab/>
        <w:tab/>
        <w:tab/>
      </w:r>
      <w:r>
        <w:rPr>
          <w:b/>
        </w:rPr>
        <w:t>Art Bieser</w:t>
      </w:r>
      <w:r>
        <w:rPr/>
        <w:t>, EIM Commercial Transaction Development</w:t>
      </w:r>
    </w:p>
    <w:p>
      <w:pPr>
        <w:pStyle w:val="Normal"/>
        <w:rPr/>
      </w:pPr>
      <w:r>
        <w:rPr>
          <w:rFonts w:cs="Arial" w:ascii="Arial" w:hAnsi="Arial"/>
          <w:sz w:val="24"/>
        </w:rPr>
        <w:tab/>
        <w:tab/>
        <w:tab/>
        <w:tab/>
        <w:tab/>
      </w:r>
      <w:r>
        <w:rPr>
          <w:rFonts w:cs="Arial" w:ascii="Arial" w:hAnsi="Arial"/>
          <w:b/>
          <w:sz w:val="24"/>
        </w:rPr>
        <w:t>Harry Collins,</w:t>
      </w:r>
      <w:r>
        <w:rPr>
          <w:rFonts w:cs="Arial" w:ascii="Arial" w:hAnsi="Arial"/>
          <w:sz w:val="24"/>
        </w:rPr>
        <w:t xml:space="preserve"> Legal- Physical Steel Trading</w:t>
      </w:r>
    </w:p>
    <w:p>
      <w:pPr>
        <w:pStyle w:val="Normal"/>
        <w:rPr/>
      </w:pPr>
      <w:r>
        <w:rPr>
          <w:rFonts w:cs="Arial" w:ascii="Arial" w:hAnsi="Arial"/>
          <w:sz w:val="24"/>
        </w:rPr>
        <w:tab/>
        <w:tab/>
        <w:tab/>
        <w:tab/>
        <w:tab/>
      </w:r>
      <w:r>
        <w:rPr>
          <w:rFonts w:cs="Arial" w:ascii="Arial" w:hAnsi="Arial"/>
          <w:b/>
          <w:sz w:val="24"/>
        </w:rPr>
        <w:t>Julia Murray</w:t>
      </w:r>
      <w:r>
        <w:rPr>
          <w:rFonts w:cs="Arial" w:ascii="Arial" w:hAnsi="Arial"/>
          <w:sz w:val="24"/>
        </w:rPr>
        <w:t>, EIM General Counsel</w:t>
      </w:r>
    </w:p>
    <w:p>
      <w:pPr>
        <w:pStyle w:val="Normal"/>
        <w:rPr/>
      </w:pPr>
      <w:r>
        <w:rPr>
          <w:rFonts w:cs="Arial" w:ascii="Arial" w:hAnsi="Arial"/>
          <w:sz w:val="24"/>
        </w:rPr>
        <w:tab/>
        <w:tab/>
        <w:tab/>
        <w:tab/>
        <w:tab/>
      </w:r>
      <w:r>
        <w:rPr>
          <w:rFonts w:cs="Arial" w:ascii="Arial" w:hAnsi="Arial"/>
          <w:b/>
          <w:sz w:val="24"/>
        </w:rPr>
        <w:t>Mark Taylor</w:t>
      </w:r>
      <w:r>
        <w:rPr>
          <w:rFonts w:cs="Arial" w:ascii="Arial" w:hAnsi="Arial"/>
          <w:sz w:val="24"/>
        </w:rPr>
        <w:t>, Legal - Financial Trading-Compliance</w:t>
      </w:r>
    </w:p>
    <w:p>
      <w:pPr>
        <w:pStyle w:val="Normal"/>
        <w:rPr/>
      </w:pPr>
      <w:r>
        <w:rPr>
          <w:rFonts w:cs="Arial" w:ascii="Arial" w:hAnsi="Arial"/>
          <w:sz w:val="24"/>
        </w:rPr>
        <w:tab/>
        <w:tab/>
        <w:tab/>
        <w:tab/>
        <w:tab/>
      </w:r>
      <w:r>
        <w:rPr>
          <w:rFonts w:cs="Arial" w:ascii="Arial" w:hAnsi="Arial"/>
          <w:b/>
          <w:sz w:val="24"/>
        </w:rPr>
        <w:t>Elizabeth Sager</w:t>
      </w:r>
      <w:r>
        <w:rPr>
          <w:rFonts w:cs="Arial" w:ascii="Arial" w:hAnsi="Arial"/>
          <w:sz w:val="24"/>
        </w:rPr>
        <w:t>, Legal - Power Trading</w:t>
      </w:r>
    </w:p>
    <w:p>
      <w:pPr>
        <w:pStyle w:val="Normal"/>
        <w:rPr>
          <w:rFonts w:ascii="Arial" w:hAnsi="Arial" w:cs="Arial"/>
          <w:sz w:val="24"/>
        </w:rPr>
      </w:pPr>
      <w:r>
        <w:rPr>
          <w:rFonts w:cs="Arial" w:ascii="Arial" w:hAnsi="Arial"/>
          <w:sz w:val="24"/>
        </w:rPr>
      </w:r>
    </w:p>
    <w:p>
      <w:pPr>
        <w:pStyle w:val="Normal"/>
        <w:rPr/>
      </w:pPr>
      <w:r>
        <w:rPr>
          <w:rFonts w:cs="Arial" w:ascii="Arial" w:hAnsi="Arial"/>
          <w:b/>
          <w:sz w:val="24"/>
        </w:rPr>
        <w:t>Date of Meeting</w:t>
        <w:tab/>
      </w:r>
      <w:r>
        <w:rPr>
          <w:rFonts w:cs="Arial" w:ascii="Arial" w:hAnsi="Arial"/>
          <w:sz w:val="24"/>
        </w:rPr>
        <w:tab/>
        <w:tab/>
        <w:tab/>
      </w:r>
      <w:r>
        <w:rPr>
          <w:rFonts w:cs="Arial" w:ascii="Arial" w:hAnsi="Arial"/>
          <w:b/>
          <w:sz w:val="24"/>
        </w:rPr>
        <w:t>Location of Meeting</w:t>
      </w:r>
      <w:r>
        <w:rPr>
          <w:rFonts w:cs="Arial" w:ascii="Arial" w:hAnsi="Arial"/>
          <w:sz w:val="24"/>
        </w:rPr>
        <w:tab/>
        <w:tab/>
        <w:tab/>
        <w:tab/>
      </w:r>
      <w:r>
        <w:rPr>
          <w:rFonts w:cs="Arial" w:ascii="Arial" w:hAnsi="Arial"/>
          <w:b/>
          <w:sz w:val="24"/>
        </w:rPr>
        <w:t>Date of Report</w:t>
      </w:r>
    </w:p>
    <w:p>
      <w:pPr>
        <w:pStyle w:val="Normal"/>
        <w:rPr>
          <w:rFonts w:ascii="Arial" w:hAnsi="Arial" w:cs="Arial"/>
          <w:sz w:val="24"/>
        </w:rPr>
      </w:pPr>
      <w:r>
        <w:rPr>
          <w:rFonts w:cs="Arial" w:ascii="Arial" w:hAnsi="Arial"/>
          <w:sz w:val="24"/>
        </w:rPr>
        <w:t>12/13/00</w:t>
        <w:tab/>
        <w:tab/>
        <w:tab/>
        <w:tab/>
        <w:tab/>
        <w:tab/>
        <w:tab/>
        <w:t>EB38C2</w:t>
        <w:tab/>
        <w:tab/>
        <w:tab/>
        <w:tab/>
        <w:tab/>
        <w:tab/>
        <w:t>12/19/00</w:t>
      </w:r>
    </w:p>
    <w:p>
      <w:pPr>
        <w:pStyle w:val="Normal"/>
        <w:pBdr>
          <w:bottom w:val="single" w:sz="12" w:space="1" w:color="000000"/>
        </w:pBdr>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Heading1"/>
        <w:ind w:hanging="0" w:start="0"/>
        <w:jc w:val="both"/>
        <w:rPr/>
      </w:pPr>
      <w:r>
        <w:rPr/>
        <w:t>Agenda</w:t>
      </w:r>
    </w:p>
    <w:p>
      <w:pPr>
        <w:pStyle w:val="Normal"/>
        <w:numPr>
          <w:ilvl w:val="0"/>
          <w:numId w:val="12"/>
        </w:numPr>
        <w:jc w:val="both"/>
        <w:rPr>
          <w:rFonts w:ascii="Arial" w:hAnsi="Arial" w:cs="Arial"/>
          <w:sz w:val="24"/>
        </w:rPr>
      </w:pPr>
      <w:r>
        <w:rPr>
          <w:rFonts w:cs="Arial" w:ascii="Arial" w:hAnsi="Arial"/>
          <w:sz w:val="24"/>
        </w:rPr>
        <w:t>Introductions</w:t>
      </w:r>
    </w:p>
    <w:p>
      <w:pPr>
        <w:pStyle w:val="Normal"/>
        <w:numPr>
          <w:ilvl w:val="0"/>
          <w:numId w:val="12"/>
        </w:numPr>
        <w:jc w:val="both"/>
        <w:rPr>
          <w:rFonts w:ascii="Arial" w:hAnsi="Arial" w:cs="Arial"/>
          <w:sz w:val="24"/>
        </w:rPr>
      </w:pPr>
      <w:r>
        <w:rPr>
          <w:rFonts w:cs="Arial" w:ascii="Arial" w:hAnsi="Arial"/>
          <w:sz w:val="24"/>
        </w:rPr>
        <w:t>Why the need for a steel contract?</w:t>
      </w:r>
    </w:p>
    <w:p>
      <w:pPr>
        <w:pStyle w:val="Normal"/>
        <w:numPr>
          <w:ilvl w:val="0"/>
          <w:numId w:val="12"/>
        </w:numPr>
        <w:jc w:val="both"/>
        <w:rPr>
          <w:rFonts w:ascii="Arial" w:hAnsi="Arial" w:cs="Arial"/>
          <w:sz w:val="24"/>
        </w:rPr>
      </w:pPr>
      <w:r>
        <w:rPr>
          <w:rFonts w:cs="Arial" w:ascii="Arial" w:hAnsi="Arial"/>
          <w:sz w:val="24"/>
        </w:rPr>
        <w:t>Lessons Learned</w:t>
      </w:r>
    </w:p>
    <w:p>
      <w:pPr>
        <w:pStyle w:val="Normal"/>
        <w:numPr>
          <w:ilvl w:val="0"/>
          <w:numId w:val="12"/>
        </w:numPr>
        <w:jc w:val="both"/>
        <w:rPr>
          <w:rFonts w:ascii="Arial" w:hAnsi="Arial" w:cs="Arial"/>
          <w:sz w:val="24"/>
        </w:rPr>
      </w:pPr>
      <w:r>
        <w:rPr>
          <w:rFonts w:cs="Arial" w:ascii="Arial" w:hAnsi="Arial"/>
          <w:sz w:val="24"/>
        </w:rPr>
        <w:t>NYMEX vs CBOT vs …</w:t>
      </w:r>
    </w:p>
    <w:p>
      <w:pPr>
        <w:pStyle w:val="Normal"/>
        <w:numPr>
          <w:ilvl w:val="0"/>
          <w:numId w:val="12"/>
        </w:numPr>
        <w:jc w:val="both"/>
        <w:rPr>
          <w:rFonts w:ascii="Arial" w:hAnsi="Arial" w:cs="Arial"/>
          <w:sz w:val="24"/>
        </w:rPr>
      </w:pPr>
      <w:r>
        <w:rPr>
          <w:rFonts w:cs="Arial" w:ascii="Arial" w:hAnsi="Arial"/>
          <w:sz w:val="24"/>
        </w:rPr>
        <w:t>Next Steps</w:t>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r>
    </w:p>
    <w:p>
      <w:pPr>
        <w:pStyle w:val="Heading1"/>
        <w:ind w:hanging="0" w:start="0"/>
        <w:jc w:val="both"/>
        <w:rPr/>
      </w:pPr>
      <w:r>
        <w:rPr/>
        <w:t>Summary</w:t>
      </w:r>
    </w:p>
    <w:p>
      <w:pPr>
        <w:pStyle w:val="BodyText"/>
        <w:rPr/>
      </w:pPr>
      <w:r>
        <w:rPr/>
        <w:t>The meeting was successful in identifying issues and opportunities that will be helpful in pursuing the implementation of a futures contract.  Jim Fallon and Jeff Schankman were identified as contacts that might have useful experience in working with the exchanges.  Platts (Bloomberg) may be a market survey source, which might be interested in covering the steel market pricing.  David Samuels with EOL is currently talking with Platts and may be able to provide a contact.  Andrew Goldberg, Sales Manager, New Products, with Standard and Poor’s (Two Allen Center, 713-658-3205) may also be able to help with a Platts contact.</w:t>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r>
    </w:p>
    <w:p>
      <w:pPr>
        <w:pStyle w:val="Heading3"/>
        <w:ind w:hanging="0" w:start="0"/>
        <w:jc w:val="both"/>
        <w:rPr/>
      </w:pPr>
      <w:r>
        <w:rPr/>
        <w:t>Next Steps</w:t>
      </w:r>
    </w:p>
    <w:p>
      <w:pPr>
        <w:pStyle w:val="Normal"/>
        <w:numPr>
          <w:ilvl w:val="0"/>
          <w:numId w:val="9"/>
        </w:numPr>
        <w:jc w:val="both"/>
        <w:rPr>
          <w:rFonts w:ascii="Arial" w:hAnsi="Arial" w:cs="Arial"/>
          <w:sz w:val="24"/>
        </w:rPr>
      </w:pPr>
      <w:r>
        <w:rPr>
          <w:rFonts w:cs="Arial" w:ascii="Arial" w:hAnsi="Arial"/>
          <w:sz w:val="24"/>
        </w:rPr>
        <w:t>Target Trade Associations to deliver the EIM Steel Message.  (with Origination/T. Battaglia)</w:t>
      </w:r>
    </w:p>
    <w:p>
      <w:pPr>
        <w:pStyle w:val="Normal"/>
        <w:numPr>
          <w:ilvl w:val="0"/>
          <w:numId w:val="9"/>
        </w:numPr>
        <w:jc w:val="both"/>
        <w:rPr>
          <w:rFonts w:ascii="Arial" w:hAnsi="Arial" w:cs="Arial"/>
          <w:sz w:val="24"/>
        </w:rPr>
      </w:pPr>
      <w:r>
        <w:rPr>
          <w:rFonts w:cs="Arial" w:ascii="Arial" w:hAnsi="Arial"/>
          <w:sz w:val="24"/>
        </w:rPr>
        <w:t>Try to define products to be traded under contract early in the process. (w/Greg Hermans et al.)</w:t>
      </w:r>
    </w:p>
    <w:p>
      <w:pPr>
        <w:pStyle w:val="Normal"/>
        <w:numPr>
          <w:ilvl w:val="0"/>
          <w:numId w:val="9"/>
        </w:numPr>
        <w:jc w:val="both"/>
        <w:rPr>
          <w:rFonts w:ascii="Arial" w:hAnsi="Arial" w:cs="Arial"/>
          <w:sz w:val="24"/>
        </w:rPr>
      </w:pPr>
      <w:r>
        <w:rPr>
          <w:rFonts w:cs="Arial" w:ascii="Arial" w:hAnsi="Arial"/>
          <w:sz w:val="24"/>
        </w:rPr>
        <w:t>Talk with Jim Fallon regarding his experience with both electricity and bandwidth and potential exchange contacts prior to contacting the exchanges directly. (ALB)</w:t>
      </w:r>
    </w:p>
    <w:p>
      <w:pPr>
        <w:pStyle w:val="Normal"/>
        <w:numPr>
          <w:ilvl w:val="0"/>
          <w:numId w:val="9"/>
        </w:numPr>
        <w:jc w:val="both"/>
        <w:rPr>
          <w:rFonts w:ascii="Arial" w:hAnsi="Arial" w:cs="Arial"/>
          <w:sz w:val="24"/>
        </w:rPr>
      </w:pPr>
      <w:r>
        <w:rPr>
          <w:rFonts w:cs="Arial" w:ascii="Arial" w:hAnsi="Arial"/>
          <w:sz w:val="24"/>
        </w:rPr>
        <w:t>Speak with Jeff Schankman regarding his experience with the gas contracts and the exchanges. (ALB)</w:t>
      </w:r>
    </w:p>
    <w:p>
      <w:pPr>
        <w:pStyle w:val="Normal"/>
        <w:numPr>
          <w:ilvl w:val="0"/>
          <w:numId w:val="9"/>
        </w:numPr>
        <w:jc w:val="both"/>
        <w:rPr>
          <w:rFonts w:ascii="Arial" w:hAnsi="Arial" w:cs="Arial"/>
          <w:sz w:val="24"/>
        </w:rPr>
      </w:pPr>
      <w:r>
        <w:rPr>
          <w:rFonts w:cs="Arial" w:ascii="Arial" w:hAnsi="Arial"/>
          <w:sz w:val="24"/>
        </w:rPr>
        <w:t>Include European Exchanges in the process.  It may be easier to establish a European contract than a US contract.  The requirements may be less stringent. (Discuss with Greg Hermans et al.)</w:t>
      </w:r>
    </w:p>
    <w:p>
      <w:pPr>
        <w:pStyle w:val="Normal"/>
        <w:numPr>
          <w:ilvl w:val="0"/>
          <w:numId w:val="9"/>
        </w:numPr>
        <w:jc w:val="both"/>
        <w:rPr>
          <w:rFonts w:ascii="Arial" w:hAnsi="Arial" w:cs="Arial"/>
          <w:sz w:val="24"/>
        </w:rPr>
      </w:pPr>
      <w:r>
        <w:rPr>
          <w:rFonts w:cs="Arial" w:ascii="Arial" w:hAnsi="Arial"/>
          <w:sz w:val="24"/>
        </w:rPr>
        <w:t>Contact Platts to determine if it would be interested in covering steel or what would be required for it to do so.  David Samuels with EOL is currently talking with Platts. Follow up with Andrew Goldberg at S&amp;P with regard to Platts coverage of the steel market. (ALB)</w:t>
      </w:r>
    </w:p>
    <w:p>
      <w:pPr>
        <w:pStyle w:val="Normal"/>
        <w:numPr>
          <w:ilvl w:val="0"/>
          <w:numId w:val="9"/>
        </w:numPr>
        <w:jc w:val="both"/>
        <w:rPr>
          <w:rFonts w:ascii="Arial" w:hAnsi="Arial" w:cs="Arial"/>
          <w:sz w:val="24"/>
        </w:rPr>
      </w:pPr>
      <w:r>
        <w:rPr>
          <w:rFonts w:cs="Arial" w:ascii="Arial" w:hAnsi="Arial"/>
          <w:sz w:val="24"/>
        </w:rPr>
        <w:t>Research the various exchanges to prioritize the most likely one to successfully implement a futures contract for steel. (ALB)</w:t>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r>
    </w:p>
    <w:p>
      <w:pPr>
        <w:pStyle w:val="Heading3"/>
        <w:ind w:hanging="0" w:start="0"/>
        <w:jc w:val="both"/>
        <w:rPr/>
      </w:pPr>
      <w:r>
        <w:rPr/>
        <w:t>Details</w:t>
      </w:r>
    </w:p>
    <w:p>
      <w:pPr>
        <w:pStyle w:val="Normal"/>
        <w:numPr>
          <w:ilvl w:val="0"/>
          <w:numId w:val="2"/>
        </w:numPr>
        <w:jc w:val="both"/>
        <w:rPr>
          <w:rFonts w:ascii="Arial" w:hAnsi="Arial" w:cs="Arial"/>
          <w:sz w:val="24"/>
        </w:rPr>
      </w:pPr>
      <w:r>
        <w:rPr>
          <w:rFonts w:cs="Arial" w:ascii="Arial" w:hAnsi="Arial"/>
          <w:sz w:val="24"/>
        </w:rPr>
        <w:t>The Power markets have been somewhat dysfunctional with electricity products being poorly defined.  Volumes on futures contracts have been very low.  Gaining consensus among counter-parties has been difficult.</w:t>
      </w:r>
    </w:p>
    <w:p>
      <w:pPr>
        <w:pStyle w:val="Normal"/>
        <w:jc w:val="both"/>
        <w:rPr>
          <w:rFonts w:ascii="Arial" w:hAnsi="Arial" w:cs="Arial"/>
          <w:sz w:val="24"/>
        </w:rPr>
      </w:pPr>
      <w:r>
        <w:rPr>
          <w:rFonts w:cs="Arial" w:ascii="Arial" w:hAnsi="Arial"/>
          <w:sz w:val="24"/>
        </w:rPr>
      </w:r>
    </w:p>
    <w:p>
      <w:pPr>
        <w:pStyle w:val="Normal"/>
        <w:numPr>
          <w:ilvl w:val="0"/>
          <w:numId w:val="2"/>
        </w:numPr>
        <w:jc w:val="both"/>
        <w:rPr>
          <w:rFonts w:ascii="Arial" w:hAnsi="Arial" w:cs="Arial"/>
          <w:sz w:val="24"/>
        </w:rPr>
      </w:pPr>
      <w:r>
        <w:rPr>
          <w:rFonts w:cs="Arial" w:ascii="Arial" w:hAnsi="Arial"/>
          <w:sz w:val="24"/>
        </w:rPr>
        <w:t>Edison Electric Institute (</w:t>
      </w:r>
      <w:hyperlink r:id="rId2">
        <w:r>
          <w:rPr>
            <w:rStyle w:val="Hyperlink"/>
          </w:rPr>
          <w:t>http://www.eei.org/</w:t>
        </w:r>
      </w:hyperlink>
      <w:r>
        <w:rPr>
          <w:rFonts w:cs="Arial" w:ascii="Arial" w:hAnsi="Arial"/>
          <w:sz w:val="24"/>
        </w:rPr>
        <w:t>) was chosen as a participant/Trade Association group for Enron to target its contract message.  Trade Associations or Industry Contact Groups are useful in efficiently getting the Enron message out to the market.  Discussions were held with Greg Hermans early in the Fall 2000 regarding the usefulness of such groups.</w:t>
      </w:r>
    </w:p>
    <w:p>
      <w:pPr>
        <w:pStyle w:val="Normal"/>
        <w:jc w:val="both"/>
        <w:rPr>
          <w:rFonts w:ascii="Arial" w:hAnsi="Arial" w:cs="Arial"/>
          <w:sz w:val="24"/>
        </w:rPr>
      </w:pPr>
      <w:r>
        <w:rPr>
          <w:rFonts w:cs="Arial" w:ascii="Arial" w:hAnsi="Arial"/>
          <w:sz w:val="24"/>
        </w:rPr>
      </w:r>
    </w:p>
    <w:p>
      <w:pPr>
        <w:pStyle w:val="Normal"/>
        <w:numPr>
          <w:ilvl w:val="0"/>
          <w:numId w:val="2"/>
        </w:numPr>
        <w:jc w:val="both"/>
        <w:rPr>
          <w:rFonts w:ascii="Arial" w:hAnsi="Arial" w:cs="Arial"/>
          <w:sz w:val="24"/>
        </w:rPr>
      </w:pPr>
      <w:r>
        <w:rPr>
          <w:rFonts w:cs="Arial" w:ascii="Arial" w:hAnsi="Arial"/>
          <w:sz w:val="24"/>
        </w:rPr>
        <w:t>Steel is more likely to mirror the experience that Enron encountered with coal.  Both commodities have an international element and are fragmented.</w:t>
      </w:r>
    </w:p>
    <w:p>
      <w:pPr>
        <w:pStyle w:val="Normal"/>
        <w:jc w:val="both"/>
        <w:rPr>
          <w:rFonts w:ascii="Arial" w:hAnsi="Arial" w:cs="Arial"/>
          <w:sz w:val="24"/>
        </w:rPr>
      </w:pPr>
      <w:r>
        <w:rPr>
          <w:rFonts w:cs="Arial" w:ascii="Arial" w:hAnsi="Arial"/>
          <w:sz w:val="24"/>
        </w:rPr>
      </w:r>
    </w:p>
    <w:p>
      <w:pPr>
        <w:pStyle w:val="Normal"/>
        <w:numPr>
          <w:ilvl w:val="0"/>
          <w:numId w:val="3"/>
        </w:numPr>
        <w:jc w:val="both"/>
        <w:rPr>
          <w:rFonts w:ascii="Arial" w:hAnsi="Arial" w:cs="Arial"/>
          <w:sz w:val="24"/>
        </w:rPr>
      </w:pPr>
      <w:r>
        <w:rPr>
          <w:rFonts w:cs="Arial" w:ascii="Arial" w:hAnsi="Arial"/>
          <w:sz w:val="24"/>
        </w:rPr>
        <w:t>Establishing a simple contract for all commodities is an Enron goal.  The ISDA (International Swap Dealers Association) is being extended to all commodities from the initial use with foreign exchange and interest rates.  Large steel companies are likely to be familiar with ISDAs based on experience with the foreign exchange markets for currency trading.</w:t>
      </w:r>
    </w:p>
    <w:p>
      <w:pPr>
        <w:pStyle w:val="Normal"/>
        <w:jc w:val="both"/>
        <w:rPr>
          <w:rFonts w:ascii="Arial" w:hAnsi="Arial" w:cs="Arial"/>
          <w:sz w:val="24"/>
        </w:rPr>
      </w:pPr>
      <w:r>
        <w:rPr>
          <w:rFonts w:cs="Arial" w:ascii="Arial" w:hAnsi="Arial"/>
          <w:sz w:val="24"/>
        </w:rPr>
      </w:r>
    </w:p>
    <w:p>
      <w:pPr>
        <w:pStyle w:val="Normal"/>
        <w:numPr>
          <w:ilvl w:val="0"/>
          <w:numId w:val="13"/>
        </w:numPr>
        <w:jc w:val="both"/>
        <w:rPr>
          <w:rFonts w:ascii="Arial" w:hAnsi="Arial" w:cs="Arial"/>
          <w:sz w:val="24"/>
        </w:rPr>
      </w:pPr>
      <w:r>
        <w:rPr>
          <w:rFonts w:cs="Arial" w:ascii="Arial" w:hAnsi="Arial"/>
          <w:sz w:val="24"/>
        </w:rPr>
        <w:t>The development of standard contracts has been underway for some time with the legal group.  Julia Murray is the lead contact.  Defining products early on will be helpful in establishing both the contracts and the markets.  Delivery points/zones will be necessary.  It may be helpful to see what ClickPaper has done with delivery points and hubs.</w:t>
      </w:r>
    </w:p>
    <w:p>
      <w:pPr>
        <w:pStyle w:val="Normal"/>
        <w:jc w:val="both"/>
        <w:rPr>
          <w:rFonts w:ascii="Arial" w:hAnsi="Arial" w:cs="Arial"/>
          <w:sz w:val="24"/>
        </w:rPr>
      </w:pPr>
      <w:r>
        <w:rPr>
          <w:rFonts w:cs="Arial" w:ascii="Arial" w:hAnsi="Arial"/>
          <w:sz w:val="24"/>
        </w:rPr>
      </w:r>
    </w:p>
    <w:p>
      <w:pPr>
        <w:pStyle w:val="Normal"/>
        <w:numPr>
          <w:ilvl w:val="0"/>
          <w:numId w:val="10"/>
        </w:numPr>
        <w:jc w:val="both"/>
        <w:rPr>
          <w:rFonts w:ascii="Arial" w:hAnsi="Arial" w:cs="Arial"/>
          <w:sz w:val="24"/>
        </w:rPr>
      </w:pPr>
      <w:r>
        <w:rPr>
          <w:rFonts w:cs="Arial" w:ascii="Arial" w:hAnsi="Arial"/>
          <w:sz w:val="24"/>
        </w:rPr>
        <w:t>The CFTC (Commodity Futures Trading Commission, http://www.cftc.gov/index.htm) is currently changing the rules associated with the wholesale amendment of the Commodity Exchange Act (The Commodity Exchange Act is codified at</w:t>
      </w:r>
      <w:r>
        <w:rPr>
          <w:rFonts w:cs="Arial" w:ascii="Arial" w:hAnsi="Arial"/>
          <w:color w:val="000080"/>
          <w:sz w:val="24"/>
        </w:rPr>
        <w:t xml:space="preserve"> </w:t>
      </w:r>
      <w:hyperlink r:id="rId3">
        <w:r>
          <w:rPr>
            <w:rStyle w:val="Hyperlink"/>
            <w:rFonts w:cs="Arial" w:ascii="Arial" w:hAnsi="Arial"/>
            <w:sz w:val="24"/>
          </w:rPr>
          <w:t>7 U.S.C. § 1 et seq.</w:t>
        </w:r>
      </w:hyperlink>
      <w:r>
        <w:rPr>
          <w:rFonts w:cs="Arial" w:ascii="Arial" w:hAnsi="Arial"/>
          <w:color w:val="000080"/>
          <w:sz w:val="24"/>
        </w:rPr>
        <w:t xml:space="preserve">.  </w:t>
      </w:r>
      <w:r>
        <w:rPr>
          <w:rFonts w:cs="Arial" w:ascii="Arial" w:hAnsi="Arial"/>
          <w:color w:val="000000"/>
          <w:sz w:val="24"/>
        </w:rPr>
        <w:t>The Commission's Rules and Regulations can be found in Title</w:t>
      </w:r>
      <w:r>
        <w:rPr>
          <w:rFonts w:cs="Arial" w:ascii="Arial" w:hAnsi="Arial"/>
          <w:sz w:val="24"/>
        </w:rPr>
        <w:t xml:space="preserve"> 17, Ch. 1 of the </w:t>
      </w:r>
      <w:hyperlink r:id="rId4">
        <w:r>
          <w:rPr>
            <w:rStyle w:val="Hyperlink"/>
            <w:rFonts w:cs="Arial" w:ascii="Arial" w:hAnsi="Arial"/>
            <w:color w:val="000080"/>
            <w:sz w:val="24"/>
          </w:rPr>
          <w:t>Code of Federal Regulations</w:t>
        </w:r>
      </w:hyperlink>
      <w:r>
        <w:rPr>
          <w:rFonts w:cs="Arial" w:ascii="Arial" w:hAnsi="Arial"/>
          <w:sz w:val="24"/>
        </w:rPr>
        <w:t>) which may facilitate the introduction of new products.  More information is needed here.</w:t>
      </w:r>
    </w:p>
    <w:p>
      <w:pPr>
        <w:pStyle w:val="Normal"/>
        <w:jc w:val="both"/>
        <w:rPr>
          <w:rFonts w:ascii="Arial" w:hAnsi="Arial" w:cs="Arial"/>
          <w:sz w:val="24"/>
        </w:rPr>
      </w:pPr>
      <w:r>
        <w:rPr>
          <w:rFonts w:cs="Arial" w:ascii="Arial" w:hAnsi="Arial"/>
          <w:sz w:val="24"/>
        </w:rPr>
      </w:r>
    </w:p>
    <w:p>
      <w:pPr>
        <w:pStyle w:val="Normal"/>
        <w:numPr>
          <w:ilvl w:val="0"/>
          <w:numId w:val="11"/>
        </w:numPr>
        <w:jc w:val="both"/>
        <w:rPr>
          <w:rFonts w:ascii="Arial" w:hAnsi="Arial" w:cs="Arial"/>
          <w:sz w:val="24"/>
        </w:rPr>
      </w:pPr>
      <w:r>
        <w:rPr>
          <w:rFonts w:cs="Arial" w:ascii="Arial" w:hAnsi="Arial"/>
          <w:sz w:val="24"/>
        </w:rPr>
        <w:t>Crude oil is the only real international commodity.  MG Metals may have a view of steel given its experience with LME and other metals.</w:t>
      </w:r>
    </w:p>
    <w:p>
      <w:pPr>
        <w:pStyle w:val="Normal"/>
        <w:jc w:val="both"/>
        <w:rPr>
          <w:rFonts w:ascii="Arial" w:hAnsi="Arial" w:cs="Arial"/>
          <w:sz w:val="24"/>
        </w:rPr>
      </w:pPr>
      <w:r>
        <w:rPr>
          <w:rFonts w:cs="Arial" w:ascii="Arial" w:hAnsi="Arial"/>
          <w:sz w:val="24"/>
        </w:rPr>
      </w:r>
    </w:p>
    <w:p>
      <w:pPr>
        <w:pStyle w:val="Normal"/>
        <w:numPr>
          <w:ilvl w:val="0"/>
          <w:numId w:val="7"/>
        </w:numPr>
        <w:jc w:val="both"/>
        <w:rPr>
          <w:rFonts w:ascii="Arial" w:hAnsi="Arial" w:cs="Arial"/>
          <w:sz w:val="24"/>
        </w:rPr>
      </w:pPr>
      <w:r>
        <w:rPr>
          <w:rFonts w:cs="Arial" w:ascii="Arial" w:hAnsi="Arial"/>
          <w:sz w:val="24"/>
        </w:rPr>
        <w:t>The Chicago Exchanges opposes Enron.  They want Enron OTC (over the counter) derivatives to be regulated.</w:t>
      </w:r>
    </w:p>
    <w:p>
      <w:pPr>
        <w:pStyle w:val="Normal"/>
        <w:jc w:val="both"/>
        <w:rPr>
          <w:rFonts w:ascii="Arial" w:hAnsi="Arial" w:cs="Arial"/>
          <w:sz w:val="24"/>
        </w:rPr>
      </w:pPr>
      <w:r>
        <w:rPr>
          <w:rFonts w:cs="Arial" w:ascii="Arial" w:hAnsi="Arial"/>
          <w:sz w:val="24"/>
        </w:rPr>
      </w:r>
    </w:p>
    <w:p>
      <w:pPr>
        <w:pStyle w:val="Normal"/>
        <w:numPr>
          <w:ilvl w:val="0"/>
          <w:numId w:val="8"/>
        </w:numPr>
        <w:jc w:val="both"/>
        <w:rPr>
          <w:rFonts w:ascii="Arial" w:hAnsi="Arial" w:cs="Arial"/>
          <w:sz w:val="24"/>
        </w:rPr>
      </w:pPr>
      <w:r>
        <w:rPr>
          <w:rFonts w:cs="Arial" w:ascii="Arial" w:hAnsi="Arial"/>
          <w:sz w:val="24"/>
        </w:rPr>
        <w:t>The NYMEX is aggressive.  It would be interesting to see how it would view a new product and what requirements it would have to list a new product/commodity.  It is anticipated that Enron will need to demonstrate the market size and potential volume.</w:t>
      </w:r>
    </w:p>
    <w:p>
      <w:pPr>
        <w:pStyle w:val="Normal"/>
        <w:jc w:val="both"/>
        <w:rPr>
          <w:rFonts w:ascii="Arial" w:hAnsi="Arial" w:cs="Arial"/>
          <w:sz w:val="24"/>
        </w:rPr>
      </w:pPr>
      <w:r>
        <w:rPr>
          <w:rFonts w:cs="Arial" w:ascii="Arial" w:hAnsi="Arial"/>
          <w:sz w:val="24"/>
        </w:rPr>
      </w:r>
    </w:p>
    <w:p>
      <w:pPr>
        <w:pStyle w:val="Normal"/>
        <w:numPr>
          <w:ilvl w:val="0"/>
          <w:numId w:val="6"/>
        </w:numPr>
        <w:jc w:val="both"/>
        <w:rPr>
          <w:rFonts w:ascii="Arial" w:hAnsi="Arial" w:cs="Arial"/>
          <w:sz w:val="24"/>
        </w:rPr>
      </w:pPr>
      <w:r>
        <w:rPr>
          <w:rFonts w:cs="Arial" w:ascii="Arial" w:hAnsi="Arial"/>
          <w:sz w:val="24"/>
        </w:rPr>
        <w:t>Platts (Bloomberg) may be interested in covering the steel industry just as it does with other commodities.</w:t>
      </w:r>
    </w:p>
    <w:p>
      <w:pPr>
        <w:pStyle w:val="Normal"/>
        <w:jc w:val="both"/>
        <w:rPr>
          <w:rFonts w:ascii="Arial" w:hAnsi="Arial" w:cs="Arial"/>
          <w:sz w:val="24"/>
        </w:rPr>
      </w:pPr>
      <w:r>
        <w:rPr>
          <w:rFonts w:cs="Arial" w:ascii="Arial" w:hAnsi="Arial"/>
          <w:sz w:val="24"/>
        </w:rPr>
      </w:r>
    </w:p>
    <w:p>
      <w:pPr>
        <w:pStyle w:val="Normal"/>
        <w:numPr>
          <w:ilvl w:val="0"/>
          <w:numId w:val="4"/>
        </w:numPr>
        <w:jc w:val="both"/>
        <w:rPr>
          <w:rFonts w:ascii="Arial" w:hAnsi="Arial" w:cs="Arial"/>
          <w:sz w:val="24"/>
        </w:rPr>
      </w:pPr>
      <w:r>
        <w:rPr>
          <w:rFonts w:cs="Arial" w:ascii="Arial" w:hAnsi="Arial"/>
          <w:sz w:val="24"/>
        </w:rPr>
        <w:t>Domestic exchanges include, (http://www.cftc.gov/links.htm)</w:t>
      </w:r>
    </w:p>
    <w:p>
      <w:pPr>
        <w:pStyle w:val="Normal"/>
        <w:numPr>
          <w:ilvl w:val="0"/>
          <w:numId w:val="5"/>
        </w:numPr>
        <w:tabs>
          <w:tab w:val="clear" w:pos="432"/>
          <w:tab w:val="left" w:pos="720" w:leader="none"/>
        </w:tabs>
        <w:ind w:hanging="360" w:start="720" w:end="0"/>
        <w:jc w:val="both"/>
        <w:rPr>
          <w:rFonts w:ascii="Arial" w:hAnsi="Arial" w:cs="Arial"/>
          <w:sz w:val="24"/>
        </w:rPr>
      </w:pPr>
      <w:r>
        <w:rPr>
          <w:rFonts w:cs="Arial" w:ascii="Arial" w:hAnsi="Arial"/>
          <w:sz w:val="24"/>
        </w:rPr>
        <w:t>Board of Trade Clearing Corporation</w:t>
      </w:r>
    </w:p>
    <w:p>
      <w:pPr>
        <w:pStyle w:val="Normal"/>
        <w:numPr>
          <w:ilvl w:val="0"/>
          <w:numId w:val="5"/>
        </w:numPr>
        <w:tabs>
          <w:tab w:val="clear" w:pos="432"/>
          <w:tab w:val="left" w:pos="720" w:leader="none"/>
        </w:tabs>
        <w:ind w:hanging="360" w:start="720" w:end="0"/>
        <w:jc w:val="both"/>
        <w:rPr>
          <w:rFonts w:ascii="Arial" w:hAnsi="Arial" w:cs="Arial"/>
          <w:sz w:val="24"/>
        </w:rPr>
      </w:pPr>
      <w:r>
        <w:rPr>
          <w:rFonts w:cs="Arial" w:ascii="Arial" w:hAnsi="Arial"/>
          <w:sz w:val="24"/>
        </w:rPr>
        <w:t>Cantor Financial Future Exchange</w:t>
      </w:r>
    </w:p>
    <w:p>
      <w:pPr>
        <w:pStyle w:val="Normal"/>
        <w:numPr>
          <w:ilvl w:val="0"/>
          <w:numId w:val="5"/>
        </w:numPr>
        <w:tabs>
          <w:tab w:val="clear" w:pos="432"/>
          <w:tab w:val="left" w:pos="720" w:leader="none"/>
        </w:tabs>
        <w:ind w:hanging="360" w:start="720" w:end="0"/>
        <w:jc w:val="both"/>
        <w:rPr>
          <w:rFonts w:ascii="Arial" w:hAnsi="Arial" w:cs="Arial"/>
          <w:sz w:val="24"/>
        </w:rPr>
      </w:pPr>
      <w:r>
        <w:rPr>
          <w:rFonts w:cs="Arial" w:ascii="Arial" w:hAnsi="Arial"/>
          <w:sz w:val="24"/>
        </w:rPr>
        <w:t>Chicago Board of Trade</w:t>
      </w:r>
    </w:p>
    <w:p>
      <w:pPr>
        <w:pStyle w:val="Normal"/>
        <w:numPr>
          <w:ilvl w:val="0"/>
          <w:numId w:val="5"/>
        </w:numPr>
        <w:tabs>
          <w:tab w:val="clear" w:pos="432"/>
          <w:tab w:val="left" w:pos="720" w:leader="none"/>
        </w:tabs>
        <w:ind w:hanging="360" w:start="720" w:end="0"/>
        <w:jc w:val="both"/>
        <w:rPr>
          <w:rFonts w:ascii="Arial" w:hAnsi="Arial" w:cs="Arial"/>
          <w:sz w:val="24"/>
        </w:rPr>
      </w:pPr>
      <w:r>
        <w:rPr>
          <w:rFonts w:cs="Arial" w:ascii="Arial" w:hAnsi="Arial"/>
          <w:sz w:val="24"/>
        </w:rPr>
        <w:t>Chicago Board Options Exchange</w:t>
      </w:r>
    </w:p>
    <w:p>
      <w:pPr>
        <w:pStyle w:val="Normal"/>
        <w:numPr>
          <w:ilvl w:val="0"/>
          <w:numId w:val="5"/>
        </w:numPr>
        <w:tabs>
          <w:tab w:val="clear" w:pos="432"/>
          <w:tab w:val="left" w:pos="720" w:leader="none"/>
        </w:tabs>
        <w:ind w:hanging="360" w:start="720" w:end="0"/>
        <w:jc w:val="both"/>
        <w:rPr>
          <w:rFonts w:ascii="Arial" w:hAnsi="Arial" w:cs="Arial"/>
          <w:sz w:val="24"/>
        </w:rPr>
      </w:pPr>
      <w:r>
        <w:rPr>
          <w:rFonts w:cs="Arial" w:ascii="Arial" w:hAnsi="Arial"/>
          <w:sz w:val="24"/>
        </w:rPr>
        <w:t>Kansas city board of Trade</w:t>
      </w:r>
    </w:p>
    <w:p>
      <w:pPr>
        <w:pStyle w:val="Normal"/>
        <w:numPr>
          <w:ilvl w:val="0"/>
          <w:numId w:val="5"/>
        </w:numPr>
        <w:tabs>
          <w:tab w:val="clear" w:pos="432"/>
          <w:tab w:val="left" w:pos="720" w:leader="none"/>
        </w:tabs>
        <w:ind w:hanging="360" w:start="720" w:end="0"/>
        <w:jc w:val="both"/>
        <w:rPr>
          <w:rFonts w:ascii="Arial" w:hAnsi="Arial" w:cs="Arial"/>
          <w:sz w:val="24"/>
        </w:rPr>
      </w:pPr>
      <w:r>
        <w:rPr>
          <w:rFonts w:cs="Arial" w:ascii="Arial" w:hAnsi="Arial"/>
          <w:sz w:val="24"/>
        </w:rPr>
        <w:t>Mid America commodity Exchange</w:t>
      </w:r>
    </w:p>
    <w:p>
      <w:pPr>
        <w:pStyle w:val="Normal"/>
        <w:numPr>
          <w:ilvl w:val="0"/>
          <w:numId w:val="5"/>
        </w:numPr>
        <w:tabs>
          <w:tab w:val="clear" w:pos="432"/>
          <w:tab w:val="left" w:pos="720" w:leader="none"/>
        </w:tabs>
        <w:ind w:hanging="360" w:start="720" w:end="0"/>
        <w:jc w:val="both"/>
        <w:rPr>
          <w:rFonts w:ascii="Arial" w:hAnsi="Arial" w:cs="Arial"/>
          <w:sz w:val="24"/>
        </w:rPr>
      </w:pPr>
      <w:r>
        <w:rPr>
          <w:rFonts w:cs="Arial" w:ascii="Arial" w:hAnsi="Arial"/>
          <w:sz w:val="24"/>
        </w:rPr>
        <w:t>Minneapolis Grain Exchange</w:t>
      </w:r>
    </w:p>
    <w:p>
      <w:pPr>
        <w:pStyle w:val="Normal"/>
        <w:numPr>
          <w:ilvl w:val="0"/>
          <w:numId w:val="5"/>
        </w:numPr>
        <w:tabs>
          <w:tab w:val="clear" w:pos="432"/>
          <w:tab w:val="left" w:pos="720" w:leader="none"/>
        </w:tabs>
        <w:ind w:hanging="360" w:start="720" w:end="0"/>
        <w:jc w:val="both"/>
        <w:rPr>
          <w:rFonts w:ascii="Arial" w:hAnsi="Arial" w:cs="Arial"/>
          <w:sz w:val="24"/>
        </w:rPr>
      </w:pPr>
      <w:r>
        <w:rPr>
          <w:rFonts w:cs="Arial" w:ascii="Arial" w:hAnsi="Arial"/>
          <w:sz w:val="24"/>
        </w:rPr>
        <w:t>Minneapolis Grain Exchange</w:t>
      </w:r>
    </w:p>
    <w:p>
      <w:pPr>
        <w:pStyle w:val="Normal"/>
        <w:numPr>
          <w:ilvl w:val="0"/>
          <w:numId w:val="5"/>
        </w:numPr>
        <w:tabs>
          <w:tab w:val="clear" w:pos="432"/>
          <w:tab w:val="left" w:pos="720" w:leader="none"/>
        </w:tabs>
        <w:ind w:hanging="360" w:start="720" w:end="0"/>
        <w:jc w:val="both"/>
        <w:rPr>
          <w:rFonts w:ascii="Arial" w:hAnsi="Arial" w:cs="Arial"/>
          <w:sz w:val="24"/>
        </w:rPr>
      </w:pPr>
      <w:r>
        <w:rPr>
          <w:rFonts w:cs="Arial" w:ascii="Arial" w:hAnsi="Arial"/>
          <w:sz w:val="24"/>
        </w:rPr>
        <w:t>New York Mercantile Exchange</w:t>
      </w:r>
    </w:p>
    <w:p>
      <w:pPr>
        <w:pStyle w:val="Normal"/>
        <w:numPr>
          <w:ilvl w:val="0"/>
          <w:numId w:val="5"/>
        </w:numPr>
        <w:tabs>
          <w:tab w:val="clear" w:pos="432"/>
          <w:tab w:val="left" w:pos="720" w:leader="none"/>
        </w:tabs>
        <w:ind w:hanging="360" w:start="720" w:end="0"/>
        <w:jc w:val="both"/>
        <w:rPr>
          <w:rFonts w:ascii="Arial" w:hAnsi="Arial" w:cs="Arial"/>
          <w:sz w:val="24"/>
        </w:rPr>
      </w:pPr>
      <w:r>
        <w:rPr>
          <w:rFonts w:cs="Arial" w:ascii="Arial" w:hAnsi="Arial"/>
          <w:sz w:val="24"/>
        </w:rPr>
        <w:t>New York Board of Trade</w:t>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op w:val="single" w:sz="4" w:space="0" w:color="000000"/>
              <w:start w:val="single" w:sz="4" w:space="0" w:color="000000"/>
              <w:bottom w:val="single" w:sz="4" w:space="0" w:color="000000"/>
              <w:end w:val="single" w:sz="4" w:space="0" w:color="000000"/>
            </w:tcBorders>
          </w:tcPr>
          <w:p>
            <w:pPr>
              <w:pStyle w:val="Heading1"/>
              <w:ind w:hanging="0" w:start="0"/>
              <w:jc w:val="both"/>
              <w:rPr/>
            </w:pPr>
            <w:r>
              <w:rPr/>
              <w:t>Exchanges</w:t>
            </w:r>
          </w:p>
        </w:tc>
        <w:tc>
          <w:tcPr>
            <w:tcW w:w="4788"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b/>
                <w:sz w:val="24"/>
              </w:rPr>
            </w:pPr>
            <w:r>
              <w:rPr>
                <w:rFonts w:cs="Arial" w:ascii="Arial" w:hAnsi="Arial"/>
                <w:b/>
                <w:sz w:val="24"/>
              </w:rPr>
              <w:t>Contact (To be identified)</w:t>
            </w:r>
          </w:p>
        </w:tc>
      </w:tr>
      <w:tr>
        <w:trPr/>
        <w:tc>
          <w:tcPr>
            <w:tcW w:w="4788"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sz w:val="24"/>
              </w:rPr>
            </w:pPr>
            <w:r>
              <w:rPr>
                <w:rFonts w:cs="Arial" w:ascii="Arial" w:hAnsi="Arial"/>
                <w:sz w:val="24"/>
              </w:rPr>
              <w:t>Board of Trade Clearing Corporation</w:t>
            </w:r>
          </w:p>
        </w:tc>
        <w:tc>
          <w:tcPr>
            <w:tcW w:w="4788"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Arial" w:hAnsi="Arial" w:cs="Arial"/>
                <w:sz w:val="24"/>
              </w:rPr>
            </w:pPr>
            <w:r>
              <w:rPr>
                <w:rFonts w:cs="Arial" w:ascii="Arial" w:hAnsi="Arial"/>
                <w:sz w:val="24"/>
              </w:rPr>
            </w:r>
          </w:p>
        </w:tc>
      </w:tr>
      <w:tr>
        <w:trPr/>
        <w:tc>
          <w:tcPr>
            <w:tcW w:w="4788"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sz w:val="24"/>
              </w:rPr>
            </w:pPr>
            <w:r>
              <w:rPr>
                <w:rFonts w:cs="Arial" w:ascii="Arial" w:hAnsi="Arial"/>
                <w:sz w:val="24"/>
              </w:rPr>
              <w:t>Cantor Financial Future Exchange</w:t>
            </w:r>
          </w:p>
        </w:tc>
        <w:tc>
          <w:tcPr>
            <w:tcW w:w="4788"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Arial" w:hAnsi="Arial" w:cs="Arial"/>
                <w:sz w:val="24"/>
              </w:rPr>
            </w:pPr>
            <w:r>
              <w:rPr>
                <w:rFonts w:cs="Arial" w:ascii="Arial" w:hAnsi="Arial"/>
                <w:sz w:val="24"/>
              </w:rPr>
            </w:r>
          </w:p>
        </w:tc>
      </w:tr>
      <w:tr>
        <w:trPr/>
        <w:tc>
          <w:tcPr>
            <w:tcW w:w="4788"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sz w:val="24"/>
              </w:rPr>
            </w:pPr>
            <w:r>
              <w:rPr>
                <w:rFonts w:cs="Arial" w:ascii="Arial" w:hAnsi="Arial"/>
                <w:sz w:val="24"/>
              </w:rPr>
              <w:t>Chicago Board of Trade</w:t>
            </w:r>
          </w:p>
        </w:tc>
        <w:tc>
          <w:tcPr>
            <w:tcW w:w="4788"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Arial" w:hAnsi="Arial" w:cs="Arial"/>
                <w:sz w:val="24"/>
              </w:rPr>
            </w:pPr>
            <w:r>
              <w:rPr>
                <w:rFonts w:cs="Arial" w:ascii="Arial" w:hAnsi="Arial"/>
                <w:sz w:val="24"/>
              </w:rPr>
            </w:r>
          </w:p>
        </w:tc>
      </w:tr>
      <w:tr>
        <w:trPr/>
        <w:tc>
          <w:tcPr>
            <w:tcW w:w="4788"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sz w:val="24"/>
              </w:rPr>
            </w:pPr>
            <w:r>
              <w:rPr>
                <w:rFonts w:cs="Arial" w:ascii="Arial" w:hAnsi="Arial"/>
                <w:sz w:val="24"/>
              </w:rPr>
              <w:t>Chicago Board Options Exchange</w:t>
            </w:r>
          </w:p>
        </w:tc>
        <w:tc>
          <w:tcPr>
            <w:tcW w:w="4788"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Arial" w:hAnsi="Arial" w:cs="Arial"/>
                <w:sz w:val="24"/>
              </w:rPr>
            </w:pPr>
            <w:r>
              <w:rPr>
                <w:rFonts w:cs="Arial" w:ascii="Arial" w:hAnsi="Arial"/>
                <w:sz w:val="24"/>
              </w:rPr>
            </w:r>
          </w:p>
        </w:tc>
      </w:tr>
      <w:tr>
        <w:trPr/>
        <w:tc>
          <w:tcPr>
            <w:tcW w:w="4788" w:type="dxa"/>
            <w:tcBorders>
              <w:top w:val="single" w:sz="4" w:space="0" w:color="000000"/>
              <w:start w:val="single" w:sz="4" w:space="0" w:color="000000"/>
              <w:bottom w:val="single" w:sz="4" w:space="0" w:color="000000"/>
              <w:end w:val="single" w:sz="4" w:space="0" w:color="000000"/>
            </w:tcBorders>
          </w:tcPr>
          <w:p>
            <w:pPr>
              <w:pStyle w:val="Heading2"/>
              <w:ind w:hanging="0" w:start="0"/>
              <w:jc w:val="both"/>
              <w:rPr/>
            </w:pPr>
            <w:r>
              <w:rPr/>
              <w:t>Kansas City Board of Trade</w:t>
            </w:r>
          </w:p>
        </w:tc>
        <w:tc>
          <w:tcPr>
            <w:tcW w:w="4788"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Arial" w:hAnsi="Arial" w:cs="Arial"/>
                <w:sz w:val="24"/>
              </w:rPr>
            </w:pPr>
            <w:r>
              <w:rPr>
                <w:rFonts w:cs="Arial" w:ascii="Arial" w:hAnsi="Arial"/>
                <w:sz w:val="24"/>
              </w:rPr>
            </w:r>
          </w:p>
        </w:tc>
      </w:tr>
      <w:tr>
        <w:trPr/>
        <w:tc>
          <w:tcPr>
            <w:tcW w:w="4788"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sz w:val="24"/>
              </w:rPr>
            </w:pPr>
            <w:r>
              <w:rPr>
                <w:rFonts w:cs="Arial" w:ascii="Arial" w:hAnsi="Arial"/>
                <w:sz w:val="24"/>
              </w:rPr>
              <w:t>Mid America commodity Exchange</w:t>
            </w:r>
          </w:p>
        </w:tc>
        <w:tc>
          <w:tcPr>
            <w:tcW w:w="4788"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Arial" w:hAnsi="Arial" w:cs="Arial"/>
                <w:sz w:val="24"/>
              </w:rPr>
            </w:pPr>
            <w:r>
              <w:rPr>
                <w:rFonts w:cs="Arial" w:ascii="Arial" w:hAnsi="Arial"/>
                <w:sz w:val="24"/>
              </w:rPr>
            </w:r>
          </w:p>
        </w:tc>
      </w:tr>
      <w:tr>
        <w:trPr/>
        <w:tc>
          <w:tcPr>
            <w:tcW w:w="4788"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sz w:val="24"/>
              </w:rPr>
            </w:pPr>
            <w:r>
              <w:rPr>
                <w:rFonts w:cs="Arial" w:ascii="Arial" w:hAnsi="Arial"/>
                <w:sz w:val="24"/>
              </w:rPr>
              <w:t>Minneapolis Grain Exchange</w:t>
            </w:r>
          </w:p>
        </w:tc>
        <w:tc>
          <w:tcPr>
            <w:tcW w:w="4788"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Arial" w:hAnsi="Arial" w:cs="Arial"/>
                <w:sz w:val="24"/>
              </w:rPr>
            </w:pPr>
            <w:r>
              <w:rPr>
                <w:rFonts w:cs="Arial" w:ascii="Arial" w:hAnsi="Arial"/>
                <w:sz w:val="24"/>
              </w:rPr>
            </w:r>
          </w:p>
        </w:tc>
      </w:tr>
      <w:tr>
        <w:trPr/>
        <w:tc>
          <w:tcPr>
            <w:tcW w:w="4788"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sz w:val="24"/>
              </w:rPr>
            </w:pPr>
            <w:r>
              <w:rPr>
                <w:rFonts w:cs="Arial" w:ascii="Arial" w:hAnsi="Arial"/>
                <w:sz w:val="24"/>
              </w:rPr>
              <w:t>Minneapolis Grain Exchange</w:t>
            </w:r>
          </w:p>
        </w:tc>
        <w:tc>
          <w:tcPr>
            <w:tcW w:w="4788"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Arial" w:hAnsi="Arial" w:cs="Arial"/>
                <w:sz w:val="24"/>
              </w:rPr>
            </w:pPr>
            <w:r>
              <w:rPr>
                <w:rFonts w:cs="Arial" w:ascii="Arial" w:hAnsi="Arial"/>
                <w:sz w:val="24"/>
              </w:rPr>
            </w:r>
          </w:p>
        </w:tc>
      </w:tr>
      <w:tr>
        <w:trPr/>
        <w:tc>
          <w:tcPr>
            <w:tcW w:w="4788"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sz w:val="24"/>
              </w:rPr>
            </w:pPr>
            <w:r>
              <w:rPr>
                <w:rFonts w:cs="Arial" w:ascii="Arial" w:hAnsi="Arial"/>
                <w:sz w:val="24"/>
              </w:rPr>
              <w:t>New York Mercantile Exchange</w:t>
            </w:r>
          </w:p>
        </w:tc>
        <w:tc>
          <w:tcPr>
            <w:tcW w:w="4788"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Arial" w:hAnsi="Arial" w:cs="Arial"/>
                <w:sz w:val="24"/>
              </w:rPr>
            </w:pPr>
            <w:r>
              <w:rPr>
                <w:rFonts w:cs="Arial" w:ascii="Arial" w:hAnsi="Arial"/>
                <w:sz w:val="24"/>
              </w:rPr>
            </w:r>
          </w:p>
        </w:tc>
      </w:tr>
      <w:tr>
        <w:trPr/>
        <w:tc>
          <w:tcPr>
            <w:tcW w:w="4788"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sz w:val="24"/>
              </w:rPr>
            </w:pPr>
            <w:r>
              <w:rPr>
                <w:rFonts w:cs="Arial" w:ascii="Arial" w:hAnsi="Arial"/>
                <w:sz w:val="24"/>
              </w:rPr>
              <w:t>New York Board of Trade</w:t>
            </w:r>
          </w:p>
        </w:tc>
        <w:tc>
          <w:tcPr>
            <w:tcW w:w="4788"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Arial" w:hAnsi="Arial" w:cs="Arial"/>
                <w:sz w:val="24"/>
              </w:rPr>
            </w:pPr>
            <w:r>
              <w:rPr>
                <w:rFonts w:cs="Arial" w:ascii="Arial" w:hAnsi="Arial"/>
                <w:sz w:val="24"/>
              </w:rPr>
            </w:r>
          </w:p>
        </w:tc>
      </w:tr>
    </w:tbl>
    <w:p>
      <w:pPr>
        <w:pStyle w:val="Normal"/>
        <w:jc w:val="both"/>
        <w:rPr>
          <w:rFonts w:ascii="Arial" w:hAnsi="Arial" w:cs="Arial"/>
          <w:sz w:val="24"/>
        </w:rPr>
      </w:pPr>
      <w:r>
        <w:rPr>
          <w:rFonts w:cs="Arial" w:ascii="Arial" w:hAnsi="Arial"/>
          <w:sz w:val="24"/>
        </w:rPr>
      </w:r>
    </w:p>
    <w:sectPr>
      <w:headerReference w:type="default" r:id="rId5"/>
      <w:footerReference w:type="default" r:id="rId6"/>
      <w:type w:val="nextPage"/>
      <w:pgSz w:w="12240" w:h="15840"/>
      <w:pgMar w:left="1440" w:right="1440" w:gutter="0" w:header="720" w:top="1152" w:footer="720" w:bottom="115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8" w:space="1" w:color="000000"/>
      </w:pBdr>
      <w:rPr/>
    </w:pPr>
    <w:r>
      <w:rPr>
        <w:rFonts w:cs="Arial" w:ascii="Arial" w:hAnsi="Arial"/>
        <w:sz w:val="16"/>
      </w:rPr>
      <w:t>001213MtgNotes</w:t>
      <w:tab/>
      <w:tab/>
    </w:r>
    <w:r>
      <w:rPr>
        <w:rStyle w:val="PageNumber"/>
        <w:rFonts w:cs="Arial" w:ascii="Arial" w:hAnsi="Arial"/>
        <w:sz w:val="16"/>
      </w:rPr>
      <w:fldChar w:fldCharType="begin"/>
    </w:r>
    <w:r>
      <w:rPr>
        <w:rStyle w:val="PageNumber"/>
        <w:sz w:val="16"/>
        <w:rFonts w:cs="Arial" w:ascii="Arial" w:hAnsi="Arial"/>
      </w:rPr>
      <w:instrText xml:space="preserve"> PAGE </w:instrText>
    </w:r>
    <w:r>
      <w:rPr>
        <w:rStyle w:val="PageNumber"/>
        <w:sz w:val="16"/>
        <w:rFonts w:cs="Arial" w:ascii="Arial" w:hAnsi="Arial"/>
      </w:rPr>
      <w:fldChar w:fldCharType="separate"/>
    </w:r>
    <w:r>
      <w:rPr>
        <w:rStyle w:val="PageNumber"/>
        <w:sz w:val="16"/>
        <w:rFonts w:cs="Arial" w:ascii="Arial" w:hAnsi="Arial"/>
      </w:rPr>
      <w:t>3</w:t>
    </w:r>
    <w:r>
      <w:rPr>
        <w:rStyle w:val="PageNumber"/>
        <w:sz w:val="16"/>
        <w:rFonts w:cs="Arial" w:ascii="Arial" w:hAnsi="Arial"/>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Arial" w:hAnsi="Arial" w:cs="Arial"/>
        <w:b/>
        <w:sz w:val="24"/>
      </w:rPr>
    </w:pPr>
    <w:r>
      <w:rPr>
        <w:rFonts w:cs="Arial" w:ascii="Arial" w:hAnsi="Arial"/>
        <w:b/>
        <w:sz w:val="24"/>
      </w:rPr>
      <w:t>Steel Origination and Trading</w:t>
    </w:r>
  </w:p>
  <w:p>
    <w:pPr>
      <w:pStyle w:val="Header"/>
      <w:pBdr>
        <w:bottom w:val="single" w:sz="18" w:space="1" w:color="000000"/>
      </w:pBdr>
      <w:tabs>
        <w:tab w:val="clear" w:pos="4320"/>
        <w:tab w:val="clear" w:pos="8640"/>
        <w:tab w:val="left" w:pos="432" w:leader="none"/>
      </w:tabs>
      <w:rPr>
        <w:rFonts w:ascii="Arial" w:hAnsi="Arial" w:cs="Arial"/>
        <w:b/>
        <w:sz w:val="24"/>
      </w:rPr>
    </w:pPr>
    <w:r>
      <w:rPr>
        <w:rFonts w:cs="Arial" w:ascii="Arial" w:hAnsi="Arial"/>
        <w:b/>
        <w:sz w:val="24"/>
      </w:rPr>
      <w:t>Enron Industrial Markets</w:t>
      <w:tab/>
      <w:tab/>
      <w:tab/>
      <w:tab/>
      <w:tab/>
      <w:tab/>
      <w:tab/>
      <w:tab/>
      <w:tab/>
      <w:tab/>
      <w:tab/>
      <w:t>December 2000</w:t>
    </w:r>
  </w:p>
  <w:p>
    <w:pPr>
      <w:pStyle w:val="Header"/>
      <w:tabs>
        <w:tab w:val="clear" w:pos="4320"/>
        <w:tab w:val="clear" w:pos="8640"/>
        <w:tab w:val="left" w:pos="432" w:leader="none"/>
      </w:tabs>
      <w:rPr>
        <w:rFonts w:ascii="Arial" w:hAnsi="Arial" w:cs="Arial"/>
        <w:b/>
        <w:sz w:val="24"/>
      </w:rPr>
    </w:pPr>
    <w:r>
      <w:rPr>
        <w:rFonts w:cs="Arial" w:ascii="Arial" w:hAnsi="Arial"/>
        <w:b/>
        <w:sz w:val="24"/>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decimal"/>
      <w:lvlText w:val="%1."/>
      <w:lvlJc w:val="start"/>
      <w:pPr>
        <w:tabs>
          <w:tab w:val="num" w:pos="360"/>
        </w:tabs>
        <w:ind w:start="360" w:hanging="360"/>
      </w:p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start w:val="1"/>
      <w:numFmt w:val="decimal"/>
      <w:lvlText w:val="%1."/>
      <w:lvlJc w:val="start"/>
      <w:pPr>
        <w:tabs>
          <w:tab w:val="num" w:pos="360"/>
        </w:tabs>
        <w:ind w:start="360" w:hanging="360"/>
      </w:p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bullet"/>
      <w:lvlText w:val=""/>
      <w:lvlJc w:val="start"/>
      <w:pPr>
        <w:tabs>
          <w:tab w:val="num" w:pos="360"/>
        </w:tabs>
        <w:ind w:start="360" w:hanging="360"/>
      </w:pPr>
      <w:rPr>
        <w:rFonts w:ascii="Symbol" w:hAnsi="Symbol" w:cs="Symbol" w:hint="default"/>
      </w:rPr>
    </w:lvl>
  </w:abstractNum>
  <w:abstractNum w:abstractNumId="13">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w:zoom w:percent="100"/>
  <w:defaultTabStop w:val="432"/>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rFonts w:ascii="Arial" w:hAnsi="Arial" w:cs="Arial"/>
      <w:b/>
      <w:sz w:val="24"/>
    </w:rPr>
  </w:style>
  <w:style w:type="paragraph" w:styleId="Heading2">
    <w:name w:val="heading 2"/>
    <w:basedOn w:val="Normal"/>
    <w:next w:val="Normal"/>
    <w:qFormat/>
    <w:pPr>
      <w:keepNext w:val="true"/>
      <w:numPr>
        <w:ilvl w:val="1"/>
        <w:numId w:val="1"/>
      </w:numPr>
      <w:outlineLvl w:val="1"/>
    </w:pPr>
    <w:rPr>
      <w:rFonts w:ascii="Arial" w:hAnsi="Arial" w:cs="Arial"/>
      <w:sz w:val="24"/>
    </w:rPr>
  </w:style>
  <w:style w:type="paragraph" w:styleId="Heading3">
    <w:name w:val="heading 3"/>
    <w:basedOn w:val="Normal"/>
    <w:next w:val="Normal"/>
    <w:qFormat/>
    <w:pPr>
      <w:keepNext w:val="true"/>
      <w:numPr>
        <w:ilvl w:val="2"/>
        <w:numId w:val="1"/>
      </w:numPr>
      <w:outlineLvl w:val="2"/>
    </w:pPr>
    <w:rPr>
      <w:rFonts w:ascii="Arial" w:hAnsi="Arial" w:cs="Arial"/>
      <w:b/>
      <w:sz w:val="24"/>
      <w:u w:val="single"/>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rFonts w:ascii="Arial" w:hAnsi="Arial" w:cs="Arial"/>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432"/>
        <w:tab w:val="center" w:pos="4986" w:leader="none"/>
        <w:tab w:val="right" w:pos="9972" w:leader="none"/>
      </w:tabs>
    </w:pPr>
    <w:rPr/>
  </w:style>
  <w:style w:type="paragraph" w:styleId="Header">
    <w:name w:val="header"/>
    <w:basedOn w:val="Normal"/>
    <w:pPr>
      <w:tabs>
        <w:tab w:val="clear" w:pos="432"/>
        <w:tab w:val="center" w:pos="4320" w:leader="none"/>
        <w:tab w:val="right" w:pos="8640" w:leader="none"/>
      </w:tabs>
    </w:pPr>
    <w:rPr/>
  </w:style>
  <w:style w:type="paragraph" w:styleId="Footer">
    <w:name w:val="footer"/>
    <w:basedOn w:val="Normal"/>
    <w:pPr>
      <w:tabs>
        <w:tab w:val="clear" w:pos="432"/>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eei.org/" TargetMode="External"/><Relationship Id="rId3" Type="http://schemas.openxmlformats.org/officeDocument/2006/relationships/hyperlink" Target="http://www.law.cornell.edu/uscode/7/ch1.html" TargetMode="External"/><Relationship Id="rId4" Type="http://schemas.openxmlformats.org/officeDocument/2006/relationships/hyperlink" Target="http://www.access.gpo.gov/nara/cfr/waisidx_99/17cfrv1_99.html" TargetMode="Externa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2000-12-19T20:30:00Z</dcterms:created>
  <dc:creator>abieser</dc:creator>
  <dc:description/>
  <dc:language>en-CA</dc:language>
  <cp:lastModifiedBy>abieser</cp:lastModifiedBy>
  <cp:lastPrinted>2000-12-19T15:57:00Z</cp:lastPrinted>
  <dcterms:modified xsi:type="dcterms:W3CDTF">2000-12-19T20:30:00Z</dcterms:modified>
  <cp:revision>2</cp:revision>
  <dc:subject/>
  <dc:title>Initial Meeting Regarding the Development of Futures Contract</dc:title>
</cp:coreProperties>
</file>