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pPr>
      <w:r>
        <w:fldChar w:fldCharType="begin"/>
      </w:r>
      <w:r>
        <w:rPr/>
        <w:instrText xml:space="preserve">ADVANCE \y 144</w:instrText>
      </w:r>
      <w:r>
        <w:rPr/>
      </w:r>
      <w:r>
        <w:rPr/>
        <w:fldChar w:fldCharType="separate"/>
      </w:r>
      <w:r>
        <w:rPr/>
      </w:r>
      <w:r>
        <w:rPr/>
      </w:r>
      <w:r>
        <w:rPr/>
        <w:fldChar w:fldCharType="end"/>
      </w:r>
      <w:r>
        <w:rPr>
          <w:b/>
        </w:rPr>
        <w:t>CONFIDENTIAL AND PRIVILEGED ATTORNEY-CLIENT COMMUNICATION</w:t>
      </w:r>
    </w:p>
    <w:p>
      <w:pPr>
        <w:pStyle w:val="Normal"/>
        <w:rPr/>
      </w:pPr>
      <w:r>
        <w:rPr/>
      </w:r>
    </w:p>
    <w:p>
      <w:pPr>
        <w:pStyle w:val="Normal"/>
        <w:jc w:val="center"/>
        <w:rPr>
          <w:spacing w:val="40"/>
        </w:rPr>
      </w:pPr>
      <w:r>
        <w:rPr>
          <w:b/>
          <w:smallCaps/>
          <w:spacing w:val="40"/>
          <w:sz w:val="40"/>
        </w:rPr>
        <w:t>Memorandum</w:t>
      </w:r>
    </w:p>
    <w:p>
      <w:pPr>
        <w:pStyle w:val="Normal"/>
        <w:rPr>
          <w:spacing w:val="40"/>
        </w:rPr>
      </w:pPr>
      <w:r>
        <w:rPr>
          <w:spacing w:val="40"/>
        </w:rPr>
      </w:r>
    </w:p>
    <w:p>
      <w:pPr>
        <w:pStyle w:val="Normal"/>
        <w:rPr/>
      </w:pPr>
      <w:r>
        <w:rPr/>
      </w:r>
    </w:p>
    <w:p>
      <w:pPr>
        <w:pStyle w:val="Normal"/>
        <w:tabs>
          <w:tab w:val="left" w:pos="720" w:leader="none"/>
          <w:tab w:val="left" w:pos="1440" w:leader="none"/>
        </w:tabs>
        <w:ind w:hanging="1440" w:start="1440" w:end="0"/>
        <w:rPr/>
      </w:pPr>
      <w:r>
        <w:rPr/>
        <w:t>TO:</w:t>
        <w:tab/>
        <w:tab/>
        <w:t>Jan Smutny-Jones</w:t>
      </w:r>
    </w:p>
    <w:p>
      <w:pPr>
        <w:pStyle w:val="Normal"/>
        <w:tabs>
          <w:tab w:val="left" w:pos="720" w:leader="none"/>
          <w:tab w:val="left" w:pos="1440" w:leader="none"/>
        </w:tabs>
        <w:ind w:hanging="1440" w:start="1440" w:end="0"/>
        <w:rPr/>
      </w:pPr>
      <w:r>
        <w:rPr/>
        <w:tab/>
        <w:tab/>
        <w:t>Steven Kelly</w:t>
      </w:r>
    </w:p>
    <w:p>
      <w:pPr>
        <w:pStyle w:val="Normal"/>
        <w:tabs>
          <w:tab w:val="left" w:pos="720" w:leader="none"/>
          <w:tab w:val="left" w:pos="1440" w:leader="none"/>
        </w:tabs>
        <w:ind w:hanging="1440" w:start="1440" w:end="0"/>
        <w:rPr/>
      </w:pPr>
      <w:r>
        <w:rPr/>
        <w:tab/>
        <w:tab/>
        <w:t>Katie Kaplan</w:t>
      </w:r>
    </w:p>
    <w:p>
      <w:pPr>
        <w:pStyle w:val="Normal"/>
        <w:tabs>
          <w:tab w:val="left" w:pos="720" w:leader="none"/>
          <w:tab w:val="left" w:pos="1440" w:leader="none"/>
        </w:tabs>
        <w:ind w:hanging="1440" w:start="1440" w:end="0"/>
        <w:rPr/>
      </w:pPr>
      <w:r>
        <w:rPr/>
        <w:tab/>
        <w:t>cc:</w:t>
        <w:tab/>
        <w:t>Douglas Kerner</w:t>
      </w:r>
    </w:p>
    <w:p>
      <w:pPr>
        <w:pStyle w:val="Normal"/>
        <w:rPr/>
      </w:pPr>
      <w:r>
        <w:rPr/>
      </w:r>
    </w:p>
    <w:p>
      <w:pPr>
        <w:pStyle w:val="Normal"/>
        <w:tabs>
          <w:tab w:val="left" w:pos="720" w:leader="none"/>
          <w:tab w:val="left" w:pos="1440" w:leader="none"/>
        </w:tabs>
        <w:ind w:hanging="1440" w:start="1440" w:end="0"/>
        <w:rPr/>
      </w:pPr>
      <w:r>
        <w:rPr/>
        <w:t>FROM:</w:t>
        <w:tab/>
        <w:t>Andy Brown and Greg Maxim</w:t>
      </w:r>
    </w:p>
    <w:p>
      <w:pPr>
        <w:pStyle w:val="Normal"/>
        <w:rPr/>
      </w:pPr>
      <w:r>
        <w:rPr/>
      </w:r>
    </w:p>
    <w:p>
      <w:pPr>
        <w:pStyle w:val="Normal"/>
        <w:tabs>
          <w:tab w:val="left" w:pos="720" w:leader="none"/>
          <w:tab w:val="left" w:pos="1440" w:leader="none"/>
        </w:tabs>
        <w:ind w:hanging="1440" w:start="1440" w:end="0"/>
        <w:rPr/>
      </w:pPr>
      <w:r>
        <w:rPr/>
        <w:t>RE:</w:t>
        <w:tab/>
        <w:tab/>
        <w:t>CAISO’s November 1 Grid Management Charge Filing (FERC Docket ER 01-313-000)</w:t>
      </w:r>
    </w:p>
    <w:p>
      <w:pPr>
        <w:pStyle w:val="Normal"/>
        <w:rPr/>
      </w:pPr>
      <w:r>
        <w:rPr/>
      </w:r>
    </w:p>
    <w:p>
      <w:pPr>
        <w:pStyle w:val="Normal"/>
        <w:rPr/>
      </w:pPr>
      <w:r>
        <w:rPr/>
        <w:t>DATE:</w:t>
        <w:tab/>
        <w:tab/>
        <w:t>November 16, 2000</w:t>
      </w:r>
    </w:p>
    <w:p>
      <w:pPr>
        <w:pStyle w:val="Normal"/>
        <w:rPr/>
      </w:pPr>
      <w:r>
        <w:rPr/>
      </w:r>
    </w:p>
    <w:p>
      <w:pPr>
        <w:pStyle w:val="Normal"/>
        <w:rPr>
          <w:lang w:val="en-CA"/>
        </w:rPr>
      </w:pPr>
      <w:r>
        <w:rPr>
          <w:lang w:val="en-CA"/>
        </w:rPr>
        <mc:AlternateContent>
          <mc:Choice Requires="wps">
            <w:drawing>
              <wp:anchor behindDoc="0" distT="0" distB="0" distL="114935" distR="114935" simplePos="0" locked="0" layoutInCell="1" allowOverlap="1" relativeHeight="2">
                <wp:simplePos x="0" y="0"/>
                <wp:positionH relativeFrom="column">
                  <wp:posOffset>-2540</wp:posOffset>
                </wp:positionH>
                <wp:positionV relativeFrom="paragraph">
                  <wp:posOffset>81280</wp:posOffset>
                </wp:positionV>
                <wp:extent cx="5394960" cy="0"/>
                <wp:effectExtent l="0" t="5080" r="0" b="5080"/>
                <wp:wrapNone/>
                <wp:docPr id="1" name=""/>
                <a:graphic xmlns:a="http://schemas.openxmlformats.org/drawingml/2006/main">
                  <a:graphicData uri="http://schemas.microsoft.com/office/word/2010/wordprocessingShape">
                    <wps:wsp>
                      <wps:cNvSpPr/>
                      <wps:spPr>
                        <a:xfrm>
                          <a:off x="0" y="0"/>
                          <a:ext cx="539496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2pt,6.4pt" to="424.55pt,6.4pt" stroked="t" o:allowincell="f" style="position:absolute">
                <v:stroke color="black" weight="9360" joinstyle="miter" endcap="flat"/>
                <v:fill o:detectmouseclick="t" on="false"/>
                <w10:wrap type="none"/>
              </v:line>
            </w:pict>
          </mc:Fallback>
        </mc:AlternateContent>
      </w:r>
    </w:p>
    <w:p>
      <w:pPr>
        <w:pStyle w:val="Normal"/>
        <w:rPr/>
      </w:pPr>
      <w:r>
        <w:rPr/>
      </w:r>
    </w:p>
    <w:p>
      <w:pPr>
        <w:pStyle w:val="Normal"/>
        <w:rPr/>
      </w:pPr>
      <w:r>
        <w:rPr/>
        <w:tab/>
        <w:t>This memorandum provides an overview of the November 1, 2000, California Independent System Operator (“CAISO”) filing made with the Federal Energy Regulatory Commission (“FERC” or “Commission”).  The filing seeks approval of an unbundled Grid Management Charge (“GMC”).  CAISO claims that this unbundled GMC will allow it to recover its increased administrative and operating costs, including the costs incurred in establishing the CAISO before operations began, in a manner that attributes those costs to the entities that helped caused them to be incurred.  IEP’s membership will be interested in this filing because CAISO proposes that QFs with “behind-the-meter” load (i.e. on-site or over-the-fence load) should be assessed portions of the GMC.  Interventions and protests to this filing are due on November 22, 2000.  Please let us know how we should proceed in this matter.</w:t>
      </w:r>
    </w:p>
    <w:p>
      <w:pPr>
        <w:pStyle w:val="Normal"/>
        <w:rPr/>
      </w:pPr>
      <w:r>
        <w:rPr/>
      </w:r>
    </w:p>
    <w:p>
      <w:pPr>
        <w:pStyle w:val="Normal"/>
        <w:rPr>
          <w:u w:val="single"/>
        </w:rPr>
      </w:pPr>
      <w:r>
        <w:rPr>
          <w:u w:val="single"/>
        </w:rPr>
        <w:t>Background</w:t>
      </w:r>
    </w:p>
    <w:p>
      <w:pPr>
        <w:pStyle w:val="Normal"/>
        <w:rPr>
          <w:u w:val="single"/>
        </w:rPr>
      </w:pPr>
      <w:r>
        <w:rPr>
          <w:u w:val="single"/>
        </w:rPr>
      </w:r>
    </w:p>
    <w:p>
      <w:pPr>
        <w:pStyle w:val="Normal"/>
        <w:rPr/>
      </w:pPr>
      <w:r>
        <w:rPr/>
        <w:tab/>
        <w:t>In 1997, the CAISO originally proposed a GMC to the Commission to collect its operating costs.  The contested filing was eventually settled such that parties not transmitting through the CAISO Controlled Grid and Section 218 transactions (on-site self generation or over-the-fence transactions) were excluded from the CAISO GMC charges.  The CAISO requested, and FERC granted, an extension of this settlement until December 31, 2000.  In the interim, CAISO has been going through a stakeholder process in developing the unbundled GMC presented in this filing.</w:t>
      </w:r>
    </w:p>
    <w:p>
      <w:pPr>
        <w:pStyle w:val="Normal"/>
        <w:rPr/>
      </w:pPr>
      <w:r>
        <w:rPr/>
      </w:r>
    </w:p>
    <w:p>
      <w:pPr>
        <w:pStyle w:val="Normal"/>
        <w:rPr>
          <w:u w:val="single"/>
        </w:rPr>
      </w:pPr>
      <w:r>
        <w:rPr>
          <w:u w:val="single"/>
        </w:rPr>
        <w:t>Summary of Filing</w:t>
      </w:r>
    </w:p>
    <w:p>
      <w:pPr>
        <w:pStyle w:val="Normal"/>
        <w:rPr>
          <w:u w:val="single"/>
        </w:rPr>
      </w:pPr>
      <w:r>
        <w:rPr>
          <w:u w:val="single"/>
        </w:rPr>
      </w:r>
    </w:p>
    <w:p>
      <w:pPr>
        <w:pStyle w:val="Normal"/>
        <w:rPr/>
      </w:pPr>
      <w:r>
        <w:rPr/>
        <w:tab/>
        <w:t>CAISO proposes to unbundle its services into three service categories or “buckets”.  These three buckets are: (1) Control Area Services/Scheduling; (2) Inter-Zonal Scheduling; and (3) Market Operations/Billing and Settlements.  Control Area Services include CAISO costs of ensuring reliable, safe operations of the transmission grid and entire Control Area.  The Inter-Zonal Scheduling includes the costs of CAISO’s Congestion Management.  Finally, Market Operations Services include the CAISO’s costs of market and settlement related services.  The claimed objective of the unbundling of the GMC is to allocate costs fairly among all CAISO system users, and minimize cost subsidization among Market Participants.  In achieving this goal, CAISO claims that its costs should be attributed to those entities that caused them to be incurred.</w:t>
      </w:r>
    </w:p>
    <w:p>
      <w:pPr>
        <w:pStyle w:val="Normal"/>
        <w:rPr/>
      </w:pPr>
      <w:r>
        <w:rPr/>
      </w:r>
    </w:p>
    <w:p>
      <w:pPr>
        <w:pStyle w:val="Normal"/>
        <w:rPr/>
      </w:pPr>
      <w:r>
        <w:rPr/>
        <w:tab/>
        <w:t xml:space="preserve">CAISO’s Control Area Services charge implicates IEP’s interests particularly for QF units or new project developers with “behind-the-meter” load.  (These would be loads unrelated to direct operation of the generating unit, such as host facility electric loads.)  The billing determinant for this service bucket is based on all Control Area </w:t>
      </w:r>
      <w:r>
        <w:rPr>
          <w:i/>
        </w:rPr>
        <w:t>Gross</w:t>
      </w:r>
      <w:r>
        <w:rPr/>
        <w:t xml:space="preserve"> Load and exports.  CAISO defines “Control Area Gross Load” as all Demand for Energy within the ISO Control area, while excluding auxiliary Load or Load that is electrically isolated from the ISO Control Area (i.e., Load that is not synchronized with the CAISO Control Area).  CAISO’s Control Area Services charge would include on-site or over-the-fence load because it is synchronized with the ISO Control Area and is provided to meet demand for energy within the ISO Control area.  CAISO alleges that it is fair to charge QF behind-the-meter load because QFs benefit from the Control Area Services that CAISO provides.  CAISO’s proposal represents an attempt to charge interconnected entities for consumption of energy that is not wheeled through the CAISO Controlled Grid.  It would be in addition to any current costs collected through utility “standby” or “supplemental energy” rates.</w:t>
      </w:r>
    </w:p>
    <w:p>
      <w:pPr>
        <w:pStyle w:val="Normal"/>
        <w:rPr/>
      </w:pPr>
      <w:r>
        <w:rPr/>
      </w:r>
    </w:p>
    <w:p>
      <w:pPr>
        <w:pStyle w:val="Normal"/>
        <w:rPr>
          <w:u w:val="single"/>
        </w:rPr>
      </w:pPr>
      <w:r>
        <w:rPr>
          <w:u w:val="single"/>
        </w:rPr>
        <w:t>Next Steps</w:t>
      </w:r>
    </w:p>
    <w:p>
      <w:pPr>
        <w:pStyle w:val="Normal"/>
        <w:rPr>
          <w:u w:val="single"/>
        </w:rPr>
      </w:pPr>
      <w:r>
        <w:rPr>
          <w:u w:val="single"/>
        </w:rPr>
      </w:r>
    </w:p>
    <w:p>
      <w:pPr>
        <w:pStyle w:val="Normal"/>
        <w:rPr/>
      </w:pPr>
      <w:r>
        <w:rPr/>
        <w:tab/>
        <w:t>IEP should consider intervening and/or filing a protest to the CAISO’s GMC to protect the interests of its membership.  In essence, CAISO is attempting to do away with certain economic benefits previously afforded under the Section 218 facility exemptions by assessing a charge to behind-the-meter load.  CAISO’s “fairness” and “cost-causation” rationales for assessing these charges are questionable, because over-the-fence and on-site load should not impact CAISO’s operating costs nor do these QFs benefit, because these QF units are not using the CAISO grid to deliver their load.</w:t>
      </w:r>
      <w:r>
        <w:rPr>
          <w:rStyle w:val="FootnoteCharacters"/>
          <w:rStyle w:val="FootnoteReference"/>
        </w:rPr>
        <w:footnoteReference w:id="2"/>
      </w:r>
      <w:r>
        <w:rPr/>
        <w:t xml:space="preserve">  If approved, CAISO’s GMC would </w:t>
      </w:r>
      <w:r>
        <w:rPr>
          <w:color w:val="000000"/>
        </w:rPr>
        <w:t xml:space="preserve">significantly change utility rates that will impact </w:t>
      </w:r>
      <w:r>
        <w:rPr>
          <w:i/>
          <w:color w:val="000000"/>
        </w:rPr>
        <w:t>existing</w:t>
      </w:r>
      <w:r>
        <w:rPr>
          <w:color w:val="000000"/>
        </w:rPr>
        <w:t xml:space="preserve"> cogenerators and 218 configurations and well as the economics behind any future 218 development.  Please let us know how you would like us to proceed in this matter.</w:t>
      </w:r>
    </w:p>
    <w:p>
      <w:pPr>
        <w:pStyle w:val="Header"/>
        <w:tabs>
          <w:tab w:val="clear" w:pos="4320"/>
          <w:tab w:val="clear" w:pos="8640"/>
        </w:tabs>
        <w:rPr>
          <w:color w:val="000000"/>
        </w:rPr>
      </w:pPr>
      <w:r>
        <w:rPr>
          <w:color w:val="000000"/>
        </w:rPr>
      </w:r>
    </w:p>
    <w:sectPr>
      <w:headerReference w:type="default" r:id="rId2"/>
      <w:headerReference w:type="first" r:id="rId3"/>
      <w:footnotePr>
        <w:numFmt w:val="decimal"/>
      </w:footnotePr>
      <w:type w:val="nextPage"/>
      <w:pgSz w:w="12240" w:h="15840"/>
      <w:pgMar w:left="1440" w:right="1440" w:gutter="0" w:header="720" w:top="1440" w:footer="0" w:bottom="1440"/>
      <w:pgNumType w:fmt="decimal"/>
      <w:formProt w:val="false"/>
      <w:titlePg/>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TypographicSymbols">
    <w:charset w:val="00" w:characterSet="windows-1252"/>
    <w:family w:val="auto"/>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Recently, in the FERC QF-PGA case, FERC Staff filed testimony stating that such operations do not implicate use of the CAISO Controlled Grid.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tLeast" w:line="360"/>
      <w:jc w:val="center"/>
      <w:rPr>
        <w:smallCaps/>
      </w:rPr>
    </w:pPr>
    <w:r>
      <w:rPr>
        <w:smallCaps/>
        <w:color w:val="008080"/>
        <w:sz w:val="26"/>
      </w:rPr>
      <w:t>Ellison, Schneider &amp; Harris L.L.P.</w:t>
    </w:r>
  </w:p>
  <w:p>
    <w:pPr>
      <w:pStyle w:val="Normal"/>
      <w:spacing w:lineRule="atLeast" w:line="312"/>
      <w:jc w:val="center"/>
      <w:rPr>
        <w:smallCaps/>
      </w:rPr>
    </w:pPr>
    <w:r>
      <w:rPr>
        <w:smallCaps/>
        <w:sz w:val="22"/>
      </w:rPr>
      <w:t>Attorneys at Law</w:t>
    </w:r>
  </w:p>
  <w:p>
    <w:pPr>
      <w:pStyle w:val="Normal"/>
      <w:jc w:val="center"/>
      <w:rPr/>
    </w:pPr>
    <w:r>
      <w:rPr>
        <w:smallCaps/>
      </w:rPr>
      <w:t>2015 H</w:t>
    </w:r>
    <w:r>
      <w:fldChar w:fldCharType="begin"/>
    </w:r>
    <w:r>
      <w:rPr>
        <w:smallCaps/>
      </w:rPr>
      <w:instrText xml:space="preserve">ADVANCE \r 0</w:instrText>
    </w:r>
    <w:r>
      <w:rPr>
        <w:smallCaps/>
      </w:rPr>
    </w:r>
    <w:r>
      <w:rPr>
        <w:smallCaps/>
      </w:rPr>
      <w:fldChar w:fldCharType="separate"/>
    </w:r>
    <w:r>
      <w:rPr>
        <w:smallCaps/>
      </w:rPr>
    </w:r>
    <w:r>
      <w:rPr>
        <w:smallCaps/>
      </w:rPr>
    </w:r>
    <w:r>
      <w:rPr>
        <w:smallCaps/>
      </w:rPr>
      <w:fldChar w:fldCharType="end"/>
    </w:r>
    <w:r>
      <w:rPr>
        <w:smallCaps/>
      </w:rPr>
      <w:t xml:space="preserve"> Street</w:t>
    </w:r>
  </w:p>
  <w:p>
    <w:pPr>
      <w:pStyle w:val="Normal"/>
      <w:jc w:val="center"/>
      <w:rPr>
        <w:smallCaps/>
      </w:rPr>
    </w:pPr>
    <w:r>
      <w:rPr>
        <w:smallCaps/>
      </w:rPr>
      <w:t>Sacramento, California  95814-3109</w:t>
    </w:r>
  </w:p>
  <w:p>
    <w:pPr>
      <w:pStyle w:val="Normal"/>
      <w:jc w:val="center"/>
      <w:rPr>
        <w:smallCaps/>
      </w:rPr>
    </w:pPr>
    <w:r>
      <w:rPr>
        <w:smallCaps/>
      </w:rPr>
      <w:t>Telephone (916) 447-2166   Fax (916) 447-3512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upperRoman"/>
      <w:lvlText w:val="%1."/>
      <w:lvlJc w:val="start"/>
      <w:pPr>
        <w:tabs>
          <w:tab w:val="num" w:pos="720"/>
        </w:tabs>
        <w:ind w:start="0" w:hanging="0"/>
      </w:pPr>
      <w:rPr/>
    </w:lvl>
    <w:lvl w:ilvl="1">
      <w:start w:val="1"/>
      <w:pStyle w:val="Heading2"/>
      <w:numFmt w:val="upperLetter"/>
      <w:lvlText w:val="%2."/>
      <w:lvlJc w:val="start"/>
      <w:pPr>
        <w:tabs>
          <w:tab w:val="num" w:pos="1080"/>
        </w:tabs>
        <w:ind w:start="720" w:hanging="0"/>
      </w:pPr>
      <w:rPr/>
    </w:lvl>
    <w:lvl w:ilvl="2">
      <w:start w:val="1"/>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spacing w:before="240" w:after="60"/>
      <w:ind w:hanging="0" w:start="1440" w:end="0"/>
      <w:outlineLvl w:val="2"/>
    </w:pPr>
    <w:rPr>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zCs w:val="24"/>
    </w:rPr>
  </w:style>
  <w:style w:type="paragraph" w:styleId="Heading8">
    <w:name w:val="heading 8"/>
    <w:basedOn w:val="Normal"/>
    <w:next w:val="Normal"/>
    <w:qFormat/>
    <w:pPr>
      <w:numPr>
        <w:ilvl w:val="7"/>
        <w:numId w:val="1"/>
      </w:numPr>
      <w:spacing w:before="240" w:after="60"/>
      <w:outlineLvl w:val="7"/>
    </w:pPr>
    <w:rPr>
      <w:i/>
      <w:iCs/>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style>
  <w:style w:type="character" w:styleId="WW8NumSt2z0">
    <w:name w:val="WW8NumSt2z0"/>
    <w:qFormat/>
    <w:rPr>
      <w:rFonts w:ascii="WP TypographicSymbols" w:hAnsi="WP TypographicSymbols" w:cs="WP TypographicSymbol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re">
    <w:name w:val="re"/>
    <w:basedOn w:val="Normal"/>
    <w:qFormat/>
    <w:pPr>
      <w:tabs>
        <w:tab w:val="left" w:pos="720" w:leader="none"/>
        <w:tab w:val="left" w:pos="1440" w:leader="none"/>
      </w:tabs>
      <w:ind w:hanging="1440" w:start="1440" w:end="0"/>
    </w:pPr>
    <w:rPr/>
  </w:style>
  <w:style w:type="paragraph" w:styleId="TOC1">
    <w:name w:val="toc 1"/>
    <w:basedOn w:val="Normal"/>
    <w:next w:val="Normal"/>
    <w:pPr>
      <w:widowControl w:val="false"/>
      <w:autoSpaceDE w:val="false"/>
      <w:ind w:hanging="720" w:start="720" w:end="0"/>
    </w:pPr>
    <w:rPr>
      <w:sz w:val="20"/>
      <w:szCs w:val="24"/>
    </w:rPr>
  </w:style>
  <w:style w:type="paragraph" w:styleId="TOC2">
    <w:name w:val="toc 2"/>
    <w:basedOn w:val="Normal"/>
    <w:next w:val="Normal"/>
    <w:pPr>
      <w:widowControl w:val="false"/>
      <w:autoSpaceDE w:val="false"/>
      <w:ind w:hanging="720" w:start="1440" w:end="0"/>
    </w:pPr>
    <w:rPr>
      <w:sz w:val="20"/>
      <w:szCs w:val="24"/>
    </w:rPr>
  </w:style>
  <w:style w:type="paragraph" w:styleId="TOC3">
    <w:name w:val="toc 3"/>
    <w:basedOn w:val="Normal"/>
    <w:next w:val="Normal"/>
    <w:pPr>
      <w:widowControl w:val="false"/>
      <w:autoSpaceDE w:val="false"/>
      <w:ind w:hanging="720" w:start="2160" w:end="0"/>
    </w:pPr>
    <w:rPr>
      <w:sz w:val="20"/>
      <w:szCs w:val="24"/>
    </w:rPr>
  </w:style>
  <w:style w:type="paragraph" w:styleId="Level1">
    <w:name w:val="Level 1"/>
    <w:basedOn w:val="Normal"/>
    <w:qFormat/>
    <w:pPr>
      <w:widowControl w:val="false"/>
      <w:autoSpaceDE w:val="false"/>
      <w:ind w:hanging="720" w:start="1440" w:end="0"/>
    </w:pPr>
    <w:rPr>
      <w:sz w:val="20"/>
      <w:szCs w:val="24"/>
    </w:rPr>
  </w:style>
  <w:style w:type="paragraph" w:styleId="BodyTextIndent">
    <w:name w:val="Body Text Indent"/>
    <w:basedOn w:val="Normal"/>
    <w:pPr>
      <w:ind w:firstLine="720" w:start="0" w:end="0"/>
    </w:pPr>
    <w:rPr>
      <w:szCs w:val="26"/>
    </w:rPr>
  </w:style>
  <w:style w:type="paragraph" w:styleId="FootnoteText">
    <w:name w:val="footnote text"/>
    <w:basedOn w:val="Normal"/>
    <w:pPr/>
    <w:rPr>
      <w:sz w:val="20"/>
    </w:rPr>
  </w:style>
  <w:style w:type="paragraph" w:styleId="BodyTextIndent2">
    <w:name w:val="Body Text Indent 2"/>
    <w:basedOn w:val="Normal"/>
    <w:qFormat/>
    <w:pPr>
      <w:ind w:hanging="0" w:start="1440" w:end="0"/>
    </w:pPr>
    <w:rPr>
      <w:szCs w:val="26"/>
    </w:rPr>
  </w:style>
  <w:style w:type="paragraph" w:styleId="BodyTextIndent3">
    <w:name w:val="Body Text Indent 3"/>
    <w:basedOn w:val="Normal"/>
    <w:qFormat/>
    <w:pPr>
      <w:ind w:hanging="0" w:start="72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esh memo format with eltr header</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2000-11-16T18:07:00Z</dcterms:created>
  <dc:creator>Andrew Brown</dc:creator>
  <dc:description/>
  <dc:language>en-CA</dc:language>
  <cp:lastModifiedBy>Gregory Maxim</cp:lastModifiedBy>
  <cp:lastPrinted>2000-02-17T11:23:00Z</cp:lastPrinted>
  <dcterms:modified xsi:type="dcterms:W3CDTF">2000-11-16T18:08:00Z</dcterms:modified>
  <cp:revision>3</cp:revision>
  <dc:subject/>
  <dc:title>CONFIDENTIAL AND PRIVILEGED ATTORNEY-CLIENT COMMUNICATION</dc:title>
</cp:coreProperties>
</file>