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b/>
        </w:rPr>
      </w:pPr>
      <w:r>
        <w:rPr>
          <w:b/>
        </w:rPr>
        <w:t>BEFORE THE</w:t>
      </w:r>
    </w:p>
    <w:p>
      <w:pPr>
        <w:pStyle w:val="Heading3"/>
        <w:rPr/>
      </w:pPr>
      <w:r>
        <w:rPr/>
        <w:t>FEDERAL ENERGY REGULATORY COMMISSION</w:t>
      </w:r>
    </w:p>
    <w:p>
      <w:pPr>
        <w:pStyle w:val="Normal"/>
        <w:tabs>
          <w:tab w:val="left" w:pos="720" w:leader="none"/>
        </w:tabs>
        <w:autoSpaceDE w:val="false"/>
        <w:ind w:start="1080" w:end="0"/>
        <w:rPr/>
      </w:pPr>
      <w:r>
        <w:rPr/>
      </w:r>
    </w:p>
    <w:p>
      <w:pPr>
        <w:pStyle w:val="Normal"/>
        <w:rPr/>
      </w:pPr>
      <w:r>
        <w:rPr/>
        <w:t>San Diego Gas &amp; Electric Company</w:t>
        <w:tab/>
        <w:tab/>
        <w:t>)</w:t>
        <w:tab/>
        <w:t>Docket No. EL00-95-000</w:t>
      </w:r>
    </w:p>
    <w:p>
      <w:pPr>
        <w:pStyle w:val="Normal"/>
        <w:numPr>
          <w:ilvl w:val="0"/>
          <w:numId w:val="2"/>
        </w:numPr>
        <w:rPr/>
      </w:pPr>
      <w:r>
        <w:rPr/>
        <w:t>)</w:t>
        <w:tab/>
        <w:tab/>
        <w:t>(Consolidated)</w:t>
      </w:r>
    </w:p>
    <w:p>
      <w:pPr>
        <w:pStyle w:val="Normal"/>
        <w:rPr/>
      </w:pPr>
      <w:r>
        <w:rPr/>
        <w:t>All Jurisdictional Sellers of Energy</w:t>
        <w:tab/>
        <w:tab/>
        <w:t>)</w:t>
      </w:r>
    </w:p>
    <w:p>
      <w:pPr>
        <w:pStyle w:val="Normal"/>
        <w:rPr/>
      </w:pPr>
      <w:r>
        <w:rPr/>
        <w:t xml:space="preserve">and Ancillary Services Into the Energy </w:t>
        <w:tab/>
        <w:t>)</w:t>
      </w:r>
    </w:p>
    <w:p>
      <w:pPr>
        <w:pStyle w:val="Normal"/>
        <w:rPr/>
      </w:pPr>
      <w:r>
        <w:rPr/>
        <w:t xml:space="preserve">and Ancillary Services Markets Operated </w:t>
        <w:tab/>
        <w:t>)</w:t>
      </w:r>
    </w:p>
    <w:p>
      <w:pPr>
        <w:pStyle w:val="Normal"/>
        <w:rPr/>
      </w:pPr>
      <w:r>
        <w:rPr/>
        <w:t>by the California Independent System</w:t>
        <w:tab/>
        <w:t>)</w:t>
      </w:r>
    </w:p>
    <w:p>
      <w:pPr>
        <w:pStyle w:val="Normal"/>
        <w:rPr/>
      </w:pPr>
      <w:r>
        <w:rPr/>
        <w:t xml:space="preserve">Operator Corporation and the California </w:t>
        <w:tab/>
        <w:t>)</w:t>
      </w:r>
    </w:p>
    <w:p>
      <w:pPr>
        <w:pStyle w:val="Normal"/>
        <w:rPr/>
      </w:pPr>
      <w:r>
        <w:rPr/>
        <w:t>Power Exchange;</w:t>
        <w:tab/>
        <w:tab/>
        <w:tab/>
        <w:tab/>
        <w:t>)</w:t>
      </w:r>
    </w:p>
    <w:p>
      <w:pPr>
        <w:pStyle w:val="Normal"/>
        <w:rPr/>
      </w:pPr>
      <w:r>
        <w:rPr/>
        <w:tab/>
        <w:tab/>
        <w:tab/>
        <w:tab/>
        <w:tab/>
        <w:tab/>
        <w:t>)</w:t>
      </w:r>
    </w:p>
    <w:p>
      <w:pPr>
        <w:pStyle w:val="Normal"/>
        <w:rPr/>
      </w:pPr>
      <w:r>
        <w:rPr/>
        <w:t>Investigation of Practices of the California</w:t>
        <w:tab/>
        <w:t>)</w:t>
      </w:r>
    </w:p>
    <w:p>
      <w:pPr>
        <w:pStyle w:val="Normal"/>
        <w:rPr/>
      </w:pPr>
      <w:r>
        <w:rPr/>
        <w:t xml:space="preserve">Independent System Operator and the </w:t>
        <w:tab/>
        <w:t>)</w:t>
        <w:tab/>
        <w:t>Docket No. EL00-98-000</w:t>
      </w:r>
    </w:p>
    <w:p>
      <w:pPr>
        <w:pStyle w:val="Normal"/>
        <w:rPr/>
      </w:pPr>
      <w:r>
        <w:rPr/>
        <w:t>California Power Exchange;</w:t>
        <w:tab/>
        <w:tab/>
        <w:tab/>
        <w:t>)</w:t>
        <w:tab/>
        <w:tab/>
        <w:t>(Consolidated)</w:t>
      </w:r>
    </w:p>
    <w:p>
      <w:pPr>
        <w:pStyle w:val="Normal"/>
        <w:rPr/>
      </w:pPr>
      <w:r>
        <w:rPr/>
        <w:tab/>
        <w:tab/>
        <w:tab/>
        <w:tab/>
        <w:tab/>
        <w:tab/>
        <w:t>)</w:t>
      </w:r>
    </w:p>
    <w:p>
      <w:pPr>
        <w:pStyle w:val="Normal"/>
        <w:rPr/>
      </w:pPr>
      <w:r>
        <w:rPr/>
        <w:t>Public Meeting in San Diego, California</w:t>
        <w:tab/>
        <w:t>)</w:t>
        <w:tab/>
        <w:t>Docket No. EL00-107-000</w:t>
      </w:r>
    </w:p>
    <w:p>
      <w:pPr>
        <w:pStyle w:val="Normal"/>
        <w:rPr/>
      </w:pPr>
      <w:r>
        <w:rPr/>
        <w:tab/>
        <w:tab/>
        <w:tab/>
        <w:tab/>
        <w:tab/>
        <w:tab/>
        <w:t>)</w:t>
        <w:tab/>
        <w:tab/>
        <w:t>(Not Consolidated)</w:t>
      </w:r>
    </w:p>
    <w:p>
      <w:pPr>
        <w:pStyle w:val="Normal"/>
        <w:rPr/>
      </w:pPr>
      <w:r>
        <w:rPr/>
        <w:tab/>
        <w:tab/>
        <w:tab/>
        <w:tab/>
        <w:tab/>
        <w:tab/>
        <w:t>)</w:t>
      </w:r>
    </w:p>
    <w:p>
      <w:pPr>
        <w:pStyle w:val="Normal"/>
        <w:rPr/>
      </w:pPr>
      <w:r>
        <w:rPr/>
        <w:t>California Power Exchange Corporation</w:t>
        <w:tab/>
        <w:t>)</w:t>
        <w:tab/>
        <w:t>Docket No. ER00-3461- 000</w:t>
      </w:r>
    </w:p>
    <w:p>
      <w:pPr>
        <w:pStyle w:val="Normal"/>
        <w:rPr/>
      </w:pPr>
      <w:r>
        <w:rPr/>
        <w:tab/>
        <w:tab/>
        <w:tab/>
        <w:tab/>
        <w:tab/>
        <w:tab/>
        <w:t>)</w:t>
        <w:tab/>
        <w:tab/>
        <w:t>(Not Consolidated)</w:t>
      </w:r>
    </w:p>
    <w:p>
      <w:pPr>
        <w:pStyle w:val="Normal"/>
        <w:rPr/>
      </w:pPr>
      <w:r>
        <w:rPr/>
        <w:tab/>
        <w:tab/>
        <w:tab/>
        <w:tab/>
        <w:tab/>
        <w:tab/>
        <w:t>)</w:t>
      </w:r>
    </w:p>
    <w:p>
      <w:pPr>
        <w:pStyle w:val="Normal"/>
        <w:rPr/>
      </w:pPr>
      <w:r>
        <w:rPr/>
        <w:t>California Independent System Operator</w:t>
        <w:tab/>
        <w:t>)</w:t>
        <w:tab/>
        <w:t>Docket No. ER00-3673-000</w:t>
      </w:r>
    </w:p>
    <w:p>
      <w:pPr>
        <w:pStyle w:val="Normal"/>
        <w:rPr/>
      </w:pPr>
      <w:r>
        <w:rPr/>
        <w:t>Corporation</w:t>
        <w:tab/>
        <w:tab/>
        <w:tab/>
        <w:tab/>
        <w:tab/>
        <w:t>)</w:t>
        <w:tab/>
        <w:tab/>
        <w:t>(Not Consolidated)</w:t>
      </w:r>
    </w:p>
    <w:p>
      <w:pPr>
        <w:pStyle w:val="Normal"/>
        <w:rPr/>
      </w:pPr>
      <w:r>
        <w:rPr/>
      </w:r>
    </w:p>
    <w:p>
      <w:pPr>
        <w:pStyle w:val="Normal"/>
        <w:rPr>
          <w:b/>
          <w:bCs/>
        </w:rPr>
      </w:pPr>
      <w:r>
        <w:rPr>
          <w:b/>
          <w:bCs/>
        </w:rPr>
        <w:t>[Citations will be filled in later from materials already in the record.]</w:t>
      </w:r>
    </w:p>
    <w:p>
      <w:pPr>
        <w:pStyle w:val="Normal"/>
        <w:rPr>
          <w:b/>
          <w:bCs/>
        </w:rPr>
      </w:pPr>
      <w:r>
        <w:rPr>
          <w:b/>
          <w:bCs/>
        </w:rPr>
      </w:r>
    </w:p>
    <w:p>
      <w:pPr>
        <w:pStyle w:val="Normal"/>
        <w:jc w:val="center"/>
        <w:rPr>
          <w:b/>
        </w:rPr>
      </w:pPr>
      <w:r>
        <w:rPr>
          <w:b/>
        </w:rPr>
        <w:t>Comments</w:t>
      </w:r>
    </w:p>
    <w:p>
      <w:pPr>
        <w:pStyle w:val="Normal"/>
        <w:jc w:val="center"/>
        <w:rPr>
          <w:b/>
        </w:rPr>
      </w:pPr>
      <w:r>
        <w:rPr>
          <w:b/>
        </w:rPr>
        <w:t>of the Independent Energy Producers Association</w:t>
      </w:r>
    </w:p>
    <w:p>
      <w:pPr>
        <w:pStyle w:val="Normal"/>
        <w:jc w:val="center"/>
        <w:rPr>
          <w:b/>
        </w:rPr>
      </w:pPr>
      <w:r>
        <w:rPr>
          <w:b/>
        </w:rPr>
        <w:t>In Response to Commission’s November Order</w:t>
      </w:r>
    </w:p>
    <w:p>
      <w:pPr>
        <w:pStyle w:val="Normal"/>
        <w:jc w:val="center"/>
        <w:rPr>
          <w:b/>
        </w:rPr>
      </w:pPr>
      <w:r>
        <w:rPr>
          <w:b/>
        </w:rPr>
      </w:r>
    </w:p>
    <w:p>
      <w:pPr>
        <w:pStyle w:val="BodyTextIndent"/>
        <w:rPr/>
      </w:pPr>
      <w:r>
        <w:rPr/>
        <w:t xml:space="preserve">Pursuant to the procedural schedule established by the Federal Energy Regulatory Commission’s (“FERC” or “Commission”) in </w:t>
      </w:r>
      <w:r>
        <w:rPr>
          <w:i/>
          <w:iCs/>
        </w:rPr>
        <w:t>Order Proposing Remedies For California Wholesale Electric Markets</w:t>
      </w:r>
      <w:r>
        <w:rPr/>
        <w:t>, 93 FERC ¶61,121 (November 2000), (“November Order”), the Independent Energy Producers Association (“IEP”) hereby provides its comments.  IEP applauds the Commission for its prompt and even-handed analysis of the California situation and the leadership it has exhibited in this case.  We support the Commission’s efforts to help stabilize the regulatory environment in California.  IEP urges the Commission to make revisions to the California market structure as suggested below so that some degree of regulatory certainty can be established.  The current—and growing—state of regulatory uncertainty in California, fueled by calls for re-regulation or other drastic and unnecessary wholesale market redesigns, will ultimately undermine the kinds of solutions California needs in the long-run.  Rather than reinventing the markets from whole cloth, IEP supports those changes proposed by FERC that build upon and improve our current market structures.</w:t>
      </w:r>
    </w:p>
    <w:p>
      <w:pPr>
        <w:pStyle w:val="BodyTextIndent"/>
        <w:rPr/>
      </w:pPr>
      <w:r>
        <w:rPr/>
        <w:t xml:space="preserve">As described in detail below, the Commission has correctly identified a number of options and solutions which can make great strides in correcting problems found in California and the larger Western region.  The Commission has provided a great service to California in terms of its identification of specific problem areas that, if corrected cooperatively by FERC and State regulators, will vastly improve the competitive markets.  Actions at the Federal and State levels are required to help get the industry restructuring “back on track.”  Clearly, the lion’s share of the steps that can be taken quickly and which are likely to bring the greatest improvements to market operations are those which fall within the State’s jurisdiction.  Those corrections will require prompt action and cooperation at the State level.  IEP is terribly concerned that the continued politicalization of the issues will stymie a timely response.  </w:t>
      </w:r>
    </w:p>
    <w:p>
      <w:pPr>
        <w:pStyle w:val="BodyTextIndent"/>
        <w:rPr/>
      </w:pPr>
      <w:r>
        <w:rPr/>
        <w:t>Time is of the essence.  California’s problems can be corrected if efforts are taken to create a stable regulatory environment.  However, if parties decide instead to invest their efforts and limited resources toward litigation on issues such as CAISO governance and retroactive refunds rather than the development of new generation capacity and better functioning markets, California and the western region will be pulled into a deeper quagmire of supply insufficiency and an unbounded environment of regulatory uncertainty which will ultimately require a massive centralized governmental response.  Such a result will be a grave disservice to all of California.</w:t>
      </w:r>
    </w:p>
    <w:p>
      <w:pPr>
        <w:pStyle w:val="Heading1"/>
        <w:numPr>
          <w:ilvl w:val="0"/>
          <w:numId w:val="0"/>
        </w:numPr>
        <w:ind w:hanging="0" w:start="0"/>
        <w:rPr/>
      </w:pPr>
      <w:r>
        <w:rPr>
          <w:u w:val="none"/>
        </w:rPr>
        <w:t>I.</w:t>
        <w:tab/>
      </w:r>
      <w:r>
        <w:rPr/>
        <w:t>Introduction</w:t>
      </w:r>
    </w:p>
    <w:p>
      <w:pPr>
        <w:pStyle w:val="Normal"/>
        <w:spacing w:lineRule="auto" w:line="480"/>
        <w:ind w:firstLine="710" w:end="0"/>
        <w:rPr/>
      </w:pPr>
      <w:r>
        <w:rPr/>
        <w:t xml:space="preserve">The Independent Energy Producers Association was founded more than 19 years ago as a non-profit trade association to represent the interests of non-utility owned generators—primarily “qualifying facilities” (“QFs”) that developed efficient cogeneration and small power production facilities under PURPA.  As a result of pioneering efforts in the area of non-utility power production, California was able to develop an innovative, diverse and robust power supply. Today, IEP’s membership has more than 20,000 MWs of diverse, in-state power capacity, including QFs, the owners of the </w:t>
      </w:r>
      <w:r>
        <w:rPr>
          <w:b/>
          <w:bCs/>
          <w:i/>
          <w:iCs/>
        </w:rPr>
        <w:t>voluntarily</w:t>
      </w:r>
      <w:r>
        <w:rPr/>
        <w:t xml:space="preserve"> divested utility plants, developers of new in-state supplies from renewable resources and clean natural gas facilities, as well as certified power marketers.  Through its efforts at this Commission, the California Public Utilities Commission ("CPUC" or "California Commission"), the California Independent System Operator ("CAISO"), the California Power Exchange Corporation (“CalPX”), as well as the state and federal legislatures, IEP has endeavored to foster a robust wholesale market design with project development and marketing opportunities.  IEP firmly believes that the long-run health of California—and the Western Region—will be best served from a well designed and operating competitive marketplace.</w:t>
      </w:r>
    </w:p>
    <w:p>
      <w:pPr>
        <w:pStyle w:val="Normal"/>
        <w:spacing w:lineRule="auto" w:line="480"/>
        <w:ind w:firstLine="710" w:end="0"/>
        <w:rPr/>
      </w:pPr>
      <w:r>
        <w:rPr/>
        <w:t xml:space="preserve">IEP’s comments are presented in six steps.  First comes an overview of what IEP believes are the central and most promising areas to be corrected.  Next is a description of the problems facing California in order to provide some context to the interrelatedness of past decisions and the current state of the market.  We then discuss what FERC can and should specifically do, particularly in the context of the November Order.  The following section discusses what the State should do in recognition that some of the most promising steps have been—and continue to be—within the purview of California regulators.  The comment concludes with a warning that time is of the essence if the coming peak season is to be managed without endless emergencies.  </w:t>
      </w:r>
    </w:p>
    <w:p>
      <w:pPr>
        <w:pStyle w:val="Heading1"/>
        <w:keepNext w:val="false"/>
        <w:numPr>
          <w:ilvl w:val="0"/>
          <w:numId w:val="5"/>
        </w:numPr>
        <w:rPr/>
      </w:pPr>
      <w:r>
        <w:rPr/>
        <w:t>Overview: Three Points are Central to Correcting the Markets.</w:t>
      </w:r>
    </w:p>
    <w:p>
      <w:pPr>
        <w:pStyle w:val="BodyTextIndent"/>
        <w:rPr/>
      </w:pPr>
      <w:r>
        <w:rPr/>
        <w:t xml:space="preserve">IEP firmly believes that a comprehensive set of options and solutions can help get California’s markets, as well as other Western markets, “back on track.”  This will require a coordinated and cooperative effort between Federal and State regulators.  Three main issues—or elements—of reform have surfaced as the most promising, and each has elements that can be undertaken on near- and long-term time frames.  These three elements are: </w:t>
      </w:r>
    </w:p>
    <w:p>
      <w:pPr>
        <w:pStyle w:val="BodyTextIndent3"/>
        <w:spacing w:lineRule="auto" w:line="360"/>
        <w:rPr/>
      </w:pPr>
      <w:r>
        <w:rPr/>
        <w:t xml:space="preserve">(1)  the rapid development of new generation resources and enhancement of transmission capacity; </w:t>
      </w:r>
    </w:p>
    <w:p>
      <w:pPr>
        <w:pStyle w:val="Normal"/>
        <w:spacing w:lineRule="auto" w:line="360"/>
        <w:ind w:hanging="355" w:start="1065" w:end="0"/>
        <w:rPr/>
      </w:pPr>
      <w:r>
        <w:rPr/>
        <w:t xml:space="preserve">(2) increased use of the forward markets to secure adequate supplies for demand which can then be scheduled in advance; and </w:t>
      </w:r>
    </w:p>
    <w:p>
      <w:pPr>
        <w:pStyle w:val="Normal"/>
        <w:spacing w:lineRule="auto" w:line="360"/>
        <w:ind w:hanging="355" w:start="1065" w:end="0"/>
        <w:rPr/>
      </w:pPr>
      <w:r>
        <w:rPr/>
        <w:t xml:space="preserve">(3) the development of a meaningful and robust retail marketplace with price-responsive demand opportunities.   </w:t>
      </w:r>
    </w:p>
    <w:p>
      <w:pPr>
        <w:pStyle w:val="Normal"/>
        <w:spacing w:lineRule="auto" w:line="480"/>
        <w:rPr/>
      </w:pPr>
      <w:r>
        <w:rPr/>
        <w:t xml:space="preserve">The decision to take decisive steps in these areas can clearly assist in improving market efficiencies and prices faced by consumers.  More importantly, swift and decisive steps in these areas will go a long way toward reducing the elevated risks associated with today’s environment of elevated regulatory uncertainty.  A number of the improvements identified in the November Order will require extensive efforts, time and resources, which cannot be underestimated.  </w:t>
      </w:r>
      <w:r>
        <w:rPr>
          <w:b/>
          <w:bCs/>
          <w:i/>
          <w:iCs/>
        </w:rPr>
        <w:t>Time is of the essence</w:t>
      </w:r>
      <w:r>
        <w:rPr/>
        <w:t>, and any delays, distractions or impediments to improving the efficient operation of markets will drive away needed infrastructure investments, continue the state of regional supply insufficiency, drive prices higher, and frustrate the restructuring efforts to the detriment of California and the entire Western region.</w:t>
      </w:r>
    </w:p>
    <w:p>
      <w:pPr>
        <w:pStyle w:val="Heading2"/>
        <w:ind w:firstLine="720" w:end="0"/>
        <w:rPr/>
      </w:pPr>
      <w:r>
        <w:rPr>
          <w:u w:val="none"/>
        </w:rPr>
        <w:t>A.</w:t>
        <w:tab/>
      </w:r>
      <w:r>
        <w:rPr/>
        <w:t>Construction of Generation and Transmission is Critical</w:t>
      </w:r>
    </w:p>
    <w:p>
      <w:pPr>
        <w:pStyle w:val="BodyTextIndent"/>
        <w:rPr/>
      </w:pPr>
      <w:r>
        <w:rPr/>
        <w:t>As noted in the Staff Report—which supports earlier testimony and reports from CAISO and CalPX—the fundamental issue driving higher prices in California and throughout the West is the current Supply/Demand imbalance.</w:t>
      </w:r>
      <w:r>
        <w:rPr>
          <w:rStyle w:val="FootnoteCharacters"/>
          <w:rStyle w:val="FootnoteReference"/>
        </w:rPr>
        <w:footnoteReference w:id="2"/>
      </w:r>
      <w:r>
        <w:rPr/>
        <w:t xml:space="preserve">  New supply and improved transfer transmission capabilities are </w:t>
      </w:r>
      <w:r>
        <w:rPr>
          <w:i/>
          <w:iCs/>
        </w:rPr>
        <w:t>absolutely required</w:t>
      </w:r>
      <w:r>
        <w:rPr/>
        <w:t xml:space="preserve"> to improve the market dynamics throughout the West and particularly in California.  The explosion of economic activity and increased populations in the West, coupled with the unforecastable impact of weather, has increased the likelihood that demand will go unserved in the future without some major capital projects.  Unless there are definite steps taken now to create a climate of regulatory certainty California appears poised to have a supply shortfall[</w:t>
      </w:r>
      <w:r>
        <w:rPr>
          <w:b/>
          <w:bCs/>
        </w:rPr>
        <w:t xml:space="preserve"> in the area of 2,000 MWs]</w:t>
      </w:r>
      <w:r>
        <w:rPr/>
        <w:t>.</w:t>
      </w:r>
      <w:r>
        <w:rPr>
          <w:rStyle w:val="FootnoteCharacters"/>
          <w:rStyle w:val="FootnoteReference"/>
        </w:rPr>
        <w:footnoteReference w:id="3"/>
      </w:r>
      <w:r>
        <w:rPr/>
        <w:t xml:space="preserve">  </w:t>
      </w:r>
    </w:p>
    <w:p>
      <w:pPr>
        <w:pStyle w:val="BodyTextIndent"/>
        <w:rPr/>
      </w:pPr>
      <w:r>
        <w:rPr/>
        <w:t>Notwithstanding statements otherwise, it must also be recognized there has been a real response from private, non-utility entities.</w:t>
      </w:r>
      <w:r>
        <w:rPr>
          <w:rStyle w:val="FootnoteCharacters"/>
          <w:rStyle w:val="FootnoteReference"/>
        </w:rPr>
        <w:footnoteReference w:id="4"/>
      </w:r>
      <w:r>
        <w:rPr/>
        <w:t xml:space="preserve">  There is a tremendous effort underway to get new generation resources in place as quickly as possible.</w:t>
      </w:r>
      <w:r>
        <w:rPr>
          <w:rStyle w:val="FootnoteCharacters"/>
          <w:rStyle w:val="FootnoteReference"/>
        </w:rPr>
        <w:footnoteReference w:id="5"/>
      </w:r>
      <w:r>
        <w:rPr/>
        <w:t xml:space="preserve">  Private companies are ready to invest billions of dollars in plant modernizations and new projects to meet the growing demand in California and elsewhere.</w:t>
      </w:r>
      <w:r>
        <w:rPr>
          <w:rStyle w:val="FootnoteCharacters"/>
          <w:rStyle w:val="FootnoteReference"/>
        </w:rPr>
        <w:footnoteReference w:id="6"/>
      </w:r>
      <w:r>
        <w:rPr/>
        <w:t xml:space="preserve">  But absent major changes to the regulatory environment—much of which rests with the State—it appears unlikely that sufficient resources will be in place seven months from now to meet this demand.  </w:t>
      </w:r>
      <w:r>
        <w:rPr>
          <w:i/>
          <w:iCs/>
        </w:rPr>
        <w:t>Steps must be taken now to improve the markets so those investments will happen, otherwise we fear that the finite physical resources will go somewhere else where power supplies are also thin.</w:t>
      </w:r>
      <w:r>
        <w:rPr/>
        <w:t xml:space="preserve">  </w:t>
      </w:r>
    </w:p>
    <w:p>
      <w:pPr>
        <w:pStyle w:val="Heading2"/>
        <w:ind w:firstLine="720" w:end="0"/>
        <w:rPr/>
      </w:pPr>
      <w:r>
        <w:rPr>
          <w:u w:val="none"/>
        </w:rPr>
        <w:t>B.</w:t>
        <w:tab/>
      </w:r>
      <w:r>
        <w:rPr/>
        <w:t>Increased Use of Forward Markets</w:t>
      </w:r>
    </w:p>
    <w:p>
      <w:pPr>
        <w:pStyle w:val="BodyTextIndent"/>
        <w:rPr/>
      </w:pPr>
      <w:r>
        <w:rPr/>
        <w:t>As noted in the Staff Report, a combination of factors has led to the unreasonable reliance on the ISO’s real time market, ultimately threatening system reliability in and beyond California.</w:t>
      </w:r>
      <w:r>
        <w:rPr>
          <w:rStyle w:val="FootnoteCharacters"/>
          <w:rStyle w:val="FootnoteReference"/>
        </w:rPr>
        <w:footnoteReference w:id="7"/>
      </w:r>
      <w:r>
        <w:rPr/>
        <w:t xml:space="preserve">  The November Order’s elimination of the “mandatory buy/sell” requirement, in conjunction with prompt development by the California Commission of reasonable standards for utility purchases, will clearly help rectify the operational and commercial problems associated with serving loads “just in time” as occurred last summer.  Allowing load serving entities the flexibility and discretion to secure supplies as they see fit will allow for the forward scheduling of power and the reduced reliance on the CAISO imbalance market.  Such resources could be those they already own, new bilateral supply arrangements of varying durations, or other contractual or physical arrangements.  By calling out the need for rational purchasing authority for the load-serving entities we think that FERC identified the most promising area where significant advances in market stability can be made relatively easily.   Others agree with this assessment.</w:t>
      </w:r>
      <w:r>
        <w:rPr>
          <w:rStyle w:val="FootnoteCharacters"/>
          <w:rStyle w:val="FootnoteReference"/>
        </w:rPr>
        <w:footnoteReference w:id="8"/>
      </w:r>
      <w:r>
        <w:rPr/>
        <w:t xml:space="preserve">  While some changes have been taken at the State level in this area, additional expansion of the utility purchasing authority in conjunction with regulatory certain as to the how those purchases would be reviewed, can be a significant step forward toward better market efficiencies.</w:t>
      </w:r>
      <w:r>
        <w:rPr>
          <w:rStyle w:val="FootnoteCharacters"/>
          <w:rStyle w:val="FootnoteReference"/>
        </w:rPr>
        <w:footnoteReference w:id="9"/>
      </w:r>
      <w:r>
        <w:rPr/>
        <w:t xml:space="preserve">  </w:t>
      </w:r>
    </w:p>
    <w:p>
      <w:pPr>
        <w:pStyle w:val="Heading2"/>
        <w:keepNext w:val="false"/>
        <w:ind w:firstLine="710" w:end="0"/>
        <w:rPr/>
      </w:pPr>
      <w:r>
        <w:rPr>
          <w:u w:val="none"/>
        </w:rPr>
        <w:t>C.</w:t>
        <w:tab/>
      </w:r>
      <w:r>
        <w:rPr/>
        <w:t>Robust Retail Market and Demand Response</w:t>
      </w:r>
    </w:p>
    <w:p>
      <w:pPr>
        <w:pStyle w:val="Normal"/>
        <w:spacing w:lineRule="auto" w:line="480"/>
        <w:ind w:firstLine="710" w:end="0"/>
        <w:rPr/>
      </w:pPr>
      <w:r>
        <w:rPr/>
        <w:t>IEP agrees with the Staff Report and many other parties that a significant portion of California’s woes come from aspects of the initial restructuring design as well as problems associated with a dysfunctional competitive retail market design.</w:t>
      </w:r>
      <w:r>
        <w:rPr>
          <w:rStyle w:val="FootnoteCharacters"/>
          <w:rStyle w:val="FootnoteReference"/>
        </w:rPr>
        <w:footnoteReference w:id="10"/>
      </w:r>
      <w:r>
        <w:rPr/>
        <w:t xml:space="preserve">  The current retail market and rate design has hindered private investments in energy efficient technology and conservation measures, as well as the kinds of innovation that can come from retail service providers in competition with the default service provider and one another.  The retail market area, which is within the State’s jurisdiction, is inextricably linked to the wholesale markets.  It is the very place where wholesale market risk and price fluctuations can be managed, where commodity service options can be developed and provided to customers, and where demand responsiveness can be fostered.  The types of changes at the retail level identified by the Commission, including the creation of market-based demand response options, will make tremendous strides in improving the functioning of the wholesale markets.</w:t>
      </w:r>
    </w:p>
    <w:p>
      <w:pPr>
        <w:pStyle w:val="Heading1"/>
        <w:numPr>
          <w:ilvl w:val="0"/>
          <w:numId w:val="5"/>
        </w:numPr>
        <w:rPr/>
      </w:pPr>
      <w:r>
        <w:rPr/>
        <w:t>Recognition of the Underlying Problems</w:t>
      </w:r>
    </w:p>
    <w:p>
      <w:pPr>
        <w:pStyle w:val="Heading2"/>
        <w:ind w:firstLine="710" w:end="0"/>
        <w:rPr/>
      </w:pPr>
      <w:r>
        <w:rPr>
          <w:i w:val="false"/>
          <w:iCs w:val="false"/>
          <w:u w:val="none"/>
        </w:rPr>
        <w:t>Development of real solutions and the selection of a path that will improve our circumstances necessarily requires a recognition of the types and nature of the problems we have today, as well as the roles of the central market participants.  While it is questionable whether it is possible or reasonable to attempt to “unravel” all participants’ actions in the marketplace, it is clear that overarching trends and themes can be identified.  IEP believes that the Staff Report, as well as the MSC and MSS Report, have identified the primary problem areas as described below.</w:t>
      </w:r>
      <w:r>
        <w:rPr>
          <w:rStyle w:val="FootnoteCharacters"/>
          <w:rStyle w:val="FootnoteReference"/>
          <w:i/>
          <w:iCs/>
          <w:u w:val="none"/>
        </w:rPr>
        <w:footnoteReference w:id="11"/>
      </w:r>
      <w:r>
        <w:rPr>
          <w:i w:val="false"/>
          <w:iCs w:val="false"/>
          <w:u w:val="none"/>
        </w:rPr>
        <w:t xml:space="preserve">  </w:t>
      </w:r>
    </w:p>
    <w:p>
      <w:pPr>
        <w:pStyle w:val="Heading2"/>
        <w:keepNext w:val="false"/>
        <w:ind w:firstLine="710" w:end="0"/>
        <w:rPr/>
      </w:pPr>
      <w:r>
        <w:rPr>
          <w:u w:val="none"/>
        </w:rPr>
        <w:t>A.</w:t>
        <w:tab/>
      </w:r>
      <w:r>
        <w:rPr/>
        <w:t xml:space="preserve">“Responsibility” for the Current Supply-Demand Imbalance </w:t>
      </w:r>
    </w:p>
    <w:p>
      <w:pPr>
        <w:pStyle w:val="Normal"/>
        <w:spacing w:lineRule="auto" w:line="480"/>
        <w:rPr/>
      </w:pPr>
      <w:r>
        <w:rPr/>
        <w:tab/>
        <w:t>Tight supplies in California and throughout the West are driving high prices.  California’s supply imbalance is particularly problematic because the availability of imported power is uncertain and diminishing due to regional load growth or variations in annual hydro production.   California’s aged supply fleet takes more to run, in terms of fuel, pollution controls costs, well as dollars for higher maintenance costs.</w:t>
      </w:r>
      <w:r>
        <w:rPr>
          <w:rStyle w:val="FootnoteCharacters"/>
          <w:rStyle w:val="FootnoteReference"/>
        </w:rPr>
        <w:footnoteReference w:id="12"/>
      </w:r>
      <w:r>
        <w:rPr/>
        <w:t xml:space="preserve">  Some of the capacity in state has been “shut in” because it was not perceived to be economic in a competitive environment, and could possible operate for only a very limited number of hours because its location.</w:t>
      </w:r>
      <w:r>
        <w:rPr>
          <w:rStyle w:val="FootnoteCharacters"/>
          <w:rStyle w:val="FootnoteReference"/>
        </w:rPr>
        <w:footnoteReference w:id="13"/>
      </w:r>
      <w:r>
        <w:rPr/>
        <w:t xml:space="preserve">  The supply fleet needs significant capital improvements, which in turn can require extended outage periods.</w:t>
      </w:r>
      <w:r>
        <w:rPr>
          <w:rStyle w:val="FootnoteCharacters"/>
          <w:rStyle w:val="FootnoteReference"/>
        </w:rPr>
        <w:footnoteReference w:id="14"/>
      </w:r>
      <w:r>
        <w:rPr/>
        <w:t xml:space="preserve">   At the same time, the economic boom seen in California as well as the population growth and expansion of housing into less temperate climates, has driven significant load increases far outstripping in-state supplies.</w:t>
      </w:r>
      <w:r>
        <w:rPr>
          <w:rStyle w:val="FootnoteCharacters"/>
          <w:rStyle w:val="FootnoteReference"/>
        </w:rPr>
        <w:footnoteReference w:id="15"/>
      </w:r>
      <w:r>
        <w:rPr/>
        <w:t xml:space="preserve">  </w:t>
      </w:r>
    </w:p>
    <w:p>
      <w:pPr>
        <w:pStyle w:val="Normal"/>
        <w:spacing w:lineRule="auto" w:line="480"/>
        <w:rPr/>
      </w:pPr>
      <w:r>
        <w:rPr/>
        <w:tab/>
        <w:t>But another cause of the current shortfall is the fact that for about a dozen years no new initiatives were taken to ensure that supply would be adequate now.  Beginning in 1989, the incumbent utilities opposed a multi-year process aimed at ensuring new, environmentally superior supplies from a competitive auction that was scheduled to have approximately 1,200 MW of diversified new supply.</w:t>
      </w:r>
      <w:r>
        <w:rPr>
          <w:rStyle w:val="FootnoteCharacters"/>
          <w:rStyle w:val="FootnoteReference"/>
        </w:rPr>
        <w:footnoteReference w:id="16"/>
      </w:r>
      <w:r>
        <w:rPr/>
        <w:t xml:space="preserve">  They argued that supplies would be sufficient.</w:t>
      </w:r>
      <w:r>
        <w:rPr>
          <w:rStyle w:val="FootnoteCharacters"/>
          <w:rStyle w:val="FootnoteReference"/>
        </w:rPr>
        <w:footnoteReference w:id="17"/>
      </w:r>
      <w:r>
        <w:rPr/>
        <w:t xml:space="preserve">  The same utilities, facing the likelihood of industry restructuring and concerned about “stranded” generation costs and their voluntary plant divestitures, did not act to ensure supplies on their own accord.  Notwithstanding projections of incremental supply needs, the restructuring legislation and the CPUC’s did not establish a “stop gap” approach to provide the new resources scuttled in 1994.  An economic downturn temporarily took the pressure off California, but absolutely nothing was done by the utilities or the State to avoid a supply shortfall in the wake of killing off the 1994 supply solicitation and during the development of the new market design.  Rather, the policy direction undertaken relative to supply sufficiency was that a well designed and properly functioning generation marketplace, with open access to the transmission and distribution systems, would yield price signals sufficient to attract new supply investments in a timely manner.</w:t>
      </w:r>
      <w:r>
        <w:rPr>
          <w:rStyle w:val="FootnoteCharacters"/>
          <w:rStyle w:val="FootnoteReference"/>
        </w:rPr>
        <w:footnoteReference w:id="18"/>
      </w:r>
      <w:r>
        <w:rPr/>
        <w:t xml:space="preserve">  </w:t>
      </w:r>
      <w:r>
        <w:rPr>
          <w:i/>
          <w:iCs/>
        </w:rPr>
        <w:t>Hence, uncertainty has reigned over the provision of supplies in California since at least 1989.</w:t>
      </w:r>
      <w:r>
        <w:rPr/>
        <w:t xml:space="preserve">  Unquestionably private developers have stepped forward since 1998 in response to California’s restructuring as evidenced by the various applications and projects in the planning stages.</w:t>
      </w:r>
      <w:r>
        <w:rPr>
          <w:rStyle w:val="FootnoteCharacters"/>
          <w:rStyle w:val="FootnoteReference"/>
        </w:rPr>
        <w:footnoteReference w:id="19"/>
      </w:r>
      <w:r>
        <w:rPr/>
        <w:t xml:space="preserve">  However, it would be extremely shortsighted to assume—as apparently some parties appearing before the Commission have—that every </w:t>
      </w:r>
      <w:r>
        <w:rPr>
          <w:i/>
          <w:iCs/>
        </w:rPr>
        <w:t>planned</w:t>
      </w:r>
      <w:r>
        <w:rPr/>
        <w:t xml:space="preserve"> project will become an </w:t>
      </w:r>
      <w:r>
        <w:rPr>
          <w:i/>
          <w:iCs/>
        </w:rPr>
        <w:t>operational</w:t>
      </w:r>
      <w:r>
        <w:rPr/>
        <w:t xml:space="preserve"> project, particularly if the regulatory uncertainty that exists today continues or escalates.</w:t>
      </w:r>
      <w:r>
        <w:rPr>
          <w:rStyle w:val="FootnoteCharacters"/>
          <w:rStyle w:val="FootnoteReference"/>
        </w:rPr>
        <w:footnoteReference w:id="20"/>
      </w:r>
      <w:r>
        <w:rPr/>
        <w:t xml:space="preserve">  It is similarly unreasonable to assume that these projects can somehow come into existence at a moments’ notice.</w:t>
      </w:r>
      <w:r>
        <w:rPr>
          <w:rStyle w:val="FootnoteCharacters"/>
          <w:rStyle w:val="FootnoteReference"/>
        </w:rPr>
        <w:footnoteReference w:id="21"/>
      </w:r>
      <w:r>
        <w:rPr/>
        <w:t xml:space="preserve">  It also seems to defy reality to assume that wholesale and retail prices could remain stable or decline in light of conditions that ensure a supply deficiency.  The point that should be taken here, however, is that there is no “central planner” to blame for the supply shortfall, but rather that what we are faced with today is the product of a set of circumstances initiated in 1989 that has since coalesced around the failure to construct new resources and an exceptional regional load growth fueled by the nation’s economic recovery.  Efforts to “find someone to hang” will ensure that the supply deficiency continues.   If new sources of supply are to be attracted, then the environment in California must provide regulatory certainty and reasonable assurances that investors have the opportunity to recover their full costs from the market, including all fixed costs and a return on investment, without the unmanageable risks that constant market tinkering presents.  Today’s environment provides no such assurances and continues the instability that has existed over the last dozen years.</w:t>
      </w:r>
    </w:p>
    <w:p>
      <w:pPr>
        <w:pStyle w:val="Heading2"/>
        <w:spacing w:lineRule="auto" w:line="240"/>
        <w:ind w:hanging="497" w:start="1420" w:end="0"/>
        <w:rPr/>
      </w:pPr>
      <w:r>
        <w:rPr>
          <w:u w:val="none"/>
        </w:rPr>
        <w:t>B.</w:t>
        <w:tab/>
      </w:r>
      <w:r>
        <w:rPr/>
        <w:t>Over-Reliance On Spot Market And On Imports Proved To Be A Poor Market Design</w:t>
      </w:r>
    </w:p>
    <w:p>
      <w:pPr>
        <w:pStyle w:val="Normal"/>
        <w:rPr/>
      </w:pPr>
      <w:r>
        <w:rPr/>
      </w:r>
    </w:p>
    <w:p>
      <w:pPr>
        <w:pStyle w:val="Normal"/>
        <w:spacing w:lineRule="auto" w:line="480"/>
        <w:ind w:firstLine="720" w:end="0"/>
        <w:rPr/>
      </w:pPr>
      <w:r>
        <w:rPr/>
        <w:t xml:space="preserve">The initial market design developed by the CPUC (and essentially ratified with modification by the State Legislature in AB 1890), including the mechanics for “residual” determination of the “competitive transition cost” (“CTC”) revenues and the determination of utility “stranded” generation costs rests on the so-called “mandatory buy/sell” requirement.  This requirement, in conjunction with a </w:t>
      </w:r>
      <w:r>
        <w:rPr>
          <w:i/>
          <w:iCs/>
        </w:rPr>
        <w:t>voluntary call for divestiture</w:t>
      </w:r>
      <w:r>
        <w:rPr/>
        <w:t xml:space="preserve"> of utility fossil generation, was aimed at ensuring that the incumbent utility companies would be less capable of exerting market power on the wholesale supply or retail demand sides.</w:t>
      </w:r>
      <w:r>
        <w:rPr>
          <w:rStyle w:val="FootnoteCharacters"/>
          <w:rStyle w:val="FootnoteReference"/>
        </w:rPr>
        <w:footnoteReference w:id="22"/>
      </w:r>
      <w:r>
        <w:rPr/>
        <w:t xml:space="preserve">  It was also developed to provide for a transparent and defendable mechanism for pricing power which would provide consumers comfort that the prices were determined within a competitive and open exchange platform.  </w:t>
      </w:r>
    </w:p>
    <w:p>
      <w:pPr>
        <w:pStyle w:val="Normal"/>
        <w:spacing w:lineRule="auto" w:line="480"/>
        <w:ind w:firstLine="720" w:end="0"/>
        <w:rPr/>
      </w:pPr>
      <w:r>
        <w:rPr/>
        <w:t xml:space="preserve">Unfortunately, in light of the evaporation of any supply surpluses that came with the revitalized economy, the mandatory buy/sell requirement has severely hampered the efficient operation of the markets.  In particular it has undermined the largest load serving entities’ ability to provide for their loads outside of the daily exchanges through a portfolio of arrangements including negotiated, longer-term bilateral forwards.   Because the costs of utility purchases from the CalPX markets are deemed “reasonable, </w:t>
      </w:r>
      <w:r>
        <w:rPr>
          <w:i/>
          <w:iCs/>
        </w:rPr>
        <w:t>per se</w:t>
      </w:r>
      <w:r>
        <w:rPr/>
        <w:t xml:space="preserve">” and are passed through to retail ratepayers (to the extent they are less than the frozen retail generation rate) there can be significant retail rate volatility.  </w:t>
      </w:r>
    </w:p>
    <w:p>
      <w:pPr>
        <w:pStyle w:val="Normal"/>
        <w:spacing w:lineRule="auto" w:line="480"/>
        <w:ind w:firstLine="720" w:end="0"/>
        <w:rPr/>
      </w:pPr>
      <w:r>
        <w:rPr/>
        <w:t>The November Order’s decision to remove the impediment that the Mandatory Buy/Sell requirement imposes is a particularly important and easily implementable step toward improving market function.  IEP wholeheartedly supports this element of the November Order.  It will allow the utilities to apply the resources under their control—be it retained generation facilities or rights under contract—against their demand and it elimination will allow them to participate in the markets to secure other supplies on a forward basis for their net demand.  Unfortunately, this increased flexibility encouraged by the Commission could itself become hampered unless and until the California Commission establishes a clearly articulated set of standards applicable for any reasonableness reviews of utility purchases.</w:t>
      </w:r>
      <w:r>
        <w:rPr>
          <w:rStyle w:val="FootnoteCharacters"/>
          <w:rStyle w:val="FootnoteReference"/>
        </w:rPr>
        <w:footnoteReference w:id="23"/>
      </w:r>
      <w:r>
        <w:rPr/>
        <w:t xml:space="preserve">  The utilities have made clear that the current set of “interim” standards deter them from entering these arrangements.</w:t>
      </w:r>
      <w:r>
        <w:rPr>
          <w:rStyle w:val="FootnoteCharacters"/>
          <w:rStyle w:val="FootnoteReference"/>
        </w:rPr>
        <w:footnoteReference w:id="24"/>
      </w:r>
      <w:r>
        <w:rPr/>
        <w:t xml:space="preserve">  Moreover, regulatory stability must exist—particularly in the areas of any wholesale price capping mechanism or potential for subsequent or retroactive refunds—if the forward markets are to develop into viable and stable options for both buyers and sellers.</w:t>
      </w:r>
      <w:r>
        <w:rPr>
          <w:rStyle w:val="FootnoteCharacters"/>
          <w:rStyle w:val="FootnoteReference"/>
        </w:rPr>
        <w:footnoteReference w:id="25"/>
      </w:r>
      <w:r>
        <w:rPr/>
        <w:t xml:space="preserve">  Regulatory uncertainty, in the context of wholesale price capping mechanisms and the continual tinkering with other market design elements, dries up the forward markets and makes them unattractive to buyers or sellers.</w:t>
      </w:r>
      <w:r>
        <w:rPr>
          <w:rStyle w:val="FootnoteCharacters"/>
          <w:rStyle w:val="FootnoteReference"/>
        </w:rPr>
        <w:footnoteReference w:id="26"/>
      </w:r>
    </w:p>
    <w:p>
      <w:pPr>
        <w:pStyle w:val="BodyTextIndent"/>
        <w:rPr/>
      </w:pPr>
      <w:r>
        <w:rPr/>
        <w:t>As the Commission is also aware from the Staff Report and other sources, continuation of California’s historic reliance on imported power in the coming years will be questionable at best.</w:t>
      </w:r>
      <w:r>
        <w:rPr>
          <w:rStyle w:val="FootnoteCharacters"/>
          <w:rStyle w:val="FootnoteReference"/>
        </w:rPr>
        <w:footnoteReference w:id="27"/>
      </w:r>
      <w:r>
        <w:rPr/>
        <w:t xml:space="preserve">  Imports, which are often subject to the vagaries of hydro conditions, are drying up with load growth in the Pacific Northwest and the Southwest.  Evidence presented has shown that during periods of regional market scarcity California exports power to other regions.</w:t>
      </w:r>
      <w:r>
        <w:rPr>
          <w:rStyle w:val="FootnoteCharacters"/>
          <w:rStyle w:val="FootnoteReference"/>
        </w:rPr>
        <w:footnoteReference w:id="28"/>
      </w:r>
      <w:r>
        <w:rPr/>
        <w:t xml:space="preserve">  Put simply, to unreasonably rely upon imports or hydro availability is not good policy; yet that appears to be the direction California is headed without needed investments in new generation capacity and enhanced instate transmission infrastructure.  </w:t>
      </w:r>
    </w:p>
    <w:p>
      <w:pPr>
        <w:pStyle w:val="Heading2"/>
        <w:spacing w:lineRule="auto" w:line="240"/>
        <w:ind w:hanging="497" w:start="1420" w:end="0"/>
        <w:rPr/>
      </w:pPr>
      <w:r>
        <w:rPr>
          <w:u w:val="none"/>
        </w:rPr>
        <w:t xml:space="preserve">C. </w:t>
        <w:tab/>
      </w:r>
      <w:r>
        <w:rPr/>
        <w:t>The Initial “Transition” Policies And Current Market Conditions Resulted In Unfavorable Circumstances For The Ultimate Consumers</w:t>
      </w:r>
    </w:p>
    <w:p>
      <w:pPr>
        <w:pStyle w:val="Normal"/>
        <w:rPr/>
      </w:pPr>
      <w:r>
        <w:rPr/>
      </w:r>
    </w:p>
    <w:p>
      <w:pPr>
        <w:pStyle w:val="BodyTextIndent"/>
        <w:rPr/>
      </w:pPr>
      <w:r>
        <w:rPr/>
        <w:t>California’s initial restructuring proposal envisioned a five year “transition period” during which the monopoly supply structure would move to a competitive, market-based supply system.</w:t>
      </w:r>
      <w:r>
        <w:rPr>
          <w:rStyle w:val="FootnoteCharacters"/>
          <w:rStyle w:val="FootnoteReference"/>
        </w:rPr>
        <w:footnoteReference w:id="29"/>
      </w:r>
      <w:r>
        <w:rPr/>
        <w:t xml:space="preserve">  During that transition process—which assumed surplus supplies—retail rates were frozen</w:t>
      </w:r>
      <w:r>
        <w:rPr>
          <w:rStyle w:val="FootnoteCharacters"/>
          <w:rStyle w:val="FootnoteReference"/>
        </w:rPr>
        <w:footnoteReference w:id="30"/>
      </w:r>
      <w:r>
        <w:rPr/>
        <w:t>, and the difference between a hybrid blend of market prices associated with supplies procured and the portion of retail rates attributed to “generation” would, under certain conditions, pay down utility stranded costs.</w:t>
      </w:r>
      <w:r>
        <w:rPr>
          <w:rStyle w:val="FootnoteCharacters"/>
          <w:rStyle w:val="FootnoteReference"/>
        </w:rPr>
        <w:footnoteReference w:id="31"/>
      </w:r>
      <w:r>
        <w:rPr/>
        <w:t xml:space="preserve">  Customer and utility interests were considered “aligned” because the utility’s interest in obtaining revenues for stranded costs required them to minimize their costs for supply.  However, the frozen retail rate—while helpful to the utility goal of achieving stranded cost recovery—frustrated efforts to develop robust retail competition as well as demand responsiveness.</w:t>
      </w:r>
      <w:r>
        <w:rPr>
          <w:rStyle w:val="FootnoteCharacters"/>
          <w:rStyle w:val="FootnoteReference"/>
        </w:rPr>
        <w:footnoteReference w:id="32"/>
      </w:r>
      <w:r>
        <w:rPr/>
        <w:t xml:space="preserve">  Those other retail market goals (development of retail competition and market-responsive loads) would ultimately require some “thawing” of rates and an associated potential for retail price movement.  Furthermore, the presence of a capped price in the CAISO markets provided a backstop price for the utilities, virtually ensuring that then the market fundamentals increased wholesale prices in the CalPX markets as massive volumes of utility demand would not secure supply in advance and hence there would be no advanced scheduling by the utilities.</w:t>
      </w:r>
      <w:r>
        <w:rPr>
          <w:rStyle w:val="FootnoteCharacters"/>
          <w:rStyle w:val="FootnoteReference"/>
        </w:rPr>
        <w:footnoteReference w:id="33"/>
      </w:r>
    </w:p>
    <w:p>
      <w:pPr>
        <w:pStyle w:val="BodyTextIndent"/>
        <w:rPr/>
      </w:pPr>
      <w:r>
        <w:rPr/>
        <w:t>This initial market structure was developed and put into place at the time when California’s economy came roaring back to life and load grew much greater than the utilities expected.</w:t>
      </w:r>
      <w:r>
        <w:rPr>
          <w:rStyle w:val="FootnoteCharacters"/>
          <w:rStyle w:val="FootnoteReference"/>
        </w:rPr>
        <w:footnoteReference w:id="34"/>
      </w:r>
      <w:r>
        <w:rPr/>
        <w:t xml:space="preserve">  The utilities’ “default” retail customers, many of whom have enjoy rates frozen prior to the restructuring legislation, continued to be completely insulated from any wholesale pricing fluxuations.  As part of the legislatively brokered agreement, the utilities faced potential underrecovery of supply costs during the rate freeze period to the extent their customers’ loads exceeded the output from supply resources the utilities still controlled.</w:t>
      </w:r>
      <w:r>
        <w:rPr>
          <w:rStyle w:val="FootnoteCharacters"/>
          <w:rStyle w:val="FootnoteReference"/>
        </w:rPr>
        <w:footnoteReference w:id="35"/>
      </w:r>
      <w:r>
        <w:rPr/>
        <w:t xml:space="preserve">  </w:t>
      </w:r>
    </w:p>
    <w:p>
      <w:pPr>
        <w:pStyle w:val="BodyTextIndent"/>
        <w:rPr/>
      </w:pPr>
      <w:r>
        <w:rPr/>
        <w:t>After SDG&amp;E completed its stranded cost recovery in July 1999, its customers were protected under an elevated retail rate cap that was negotiated by the utility.</w:t>
      </w:r>
      <w:r>
        <w:rPr>
          <w:rStyle w:val="FootnoteCharacters"/>
          <w:rStyle w:val="FootnoteReference"/>
        </w:rPr>
        <w:footnoteReference w:id="36"/>
      </w:r>
      <w:r>
        <w:rPr/>
        <w:t xml:space="preserve">  Some retail customers who participated in the competitive “direct access” marketplace faced energy costs that were tied to changes in the market prices.  Other direct access customers who elected fixed rates or other competitive market options—particularly those located in the SDG&amp;E territory post rate-freeze—were able to avoid the high spot market prices.   But California’s real troubles began when the SDG&amp;E’s default retail customers were not adequately warned that the market fundamentals could create significant regional supply shortfalls.  In this case those customers were unknowingly exposed to the utility’s decision to rely solely upon the spot market.  </w:t>
      </w:r>
    </w:p>
    <w:p>
      <w:pPr>
        <w:pStyle w:val="Normal"/>
        <w:spacing w:lineRule="auto" w:line="480"/>
        <w:ind w:firstLine="720" w:end="0"/>
        <w:rPr/>
      </w:pPr>
      <w:r>
        <w:rPr/>
        <w:t>IEP believes that the threats of a “revolution” or consumer revolt that now are in vogue with some quarters rest upon the extremely flawed notion that consumers must be directly and immediately exposed to variations in the wholesale market price.  Clearly, retail consumers of all sizes and levels of sophistication should not be unwillingly subjected to volatile wholesale price swings.   The November Order’s call for the elimination of the Mandatory Buy/Sell requirement, its efforts to increase forward scheduling and contracting, in conjunction with corrections to the retail market design, can help provide load serving entities the tools they need to secure adequate and diverse power supplies.  This should establish more stable retail rates.  Hopefully the State will follow suit and provide the load serving utilities the procurement guidelines they portend to need before they will secure supplies from other than the spot markets.</w:t>
      </w:r>
      <w:r>
        <w:rPr>
          <w:rStyle w:val="FootnoteCharacters"/>
          <w:rStyle w:val="FootnoteReference"/>
        </w:rPr>
        <w:footnoteReference w:id="37"/>
      </w:r>
    </w:p>
    <w:p>
      <w:pPr>
        <w:pStyle w:val="Normal"/>
        <w:spacing w:lineRule="auto" w:line="480"/>
        <w:rPr/>
      </w:pPr>
      <w:r>
        <w:rPr/>
        <w:tab/>
        <w:t>One particularly troubling area leading to market instability—again solely within the domain of the State—is the failure to articulate what the role of the utility will be in the restructured markets.  The utilities have cited this as an area of regulatory uncertainty which has kept them from procuring power on a forward basis.</w:t>
      </w:r>
      <w:r>
        <w:rPr>
          <w:rStyle w:val="FootnoteCharacters"/>
          <w:rStyle w:val="FootnoteReference"/>
        </w:rPr>
        <w:footnoteReference w:id="38"/>
      </w:r>
      <w:r>
        <w:rPr/>
        <w:t xml:space="preserve">  Lack of clarity on this issue has also lead to long-running disputes in CPUC proceedings regarding rate unbundling and metering and commodity rate credits.  Failure to take even the simple step of identifying how the “default provider” issue will be resolved at the California Commission has left a fundamental component of the restructured retail environment completely ill-defined.  The simple step of setting out a roadmap of when, where and how this issue will be addressed before the CPUC can help define the scope of the retail marketplace and provide some desperately needed direction to consumers and potential utility competitors.</w:t>
      </w:r>
    </w:p>
    <w:p>
      <w:pPr>
        <w:pStyle w:val="Heading1"/>
        <w:numPr>
          <w:ilvl w:val="0"/>
          <w:numId w:val="5"/>
        </w:numPr>
        <w:ind w:hanging="720" w:start="706" w:end="0"/>
        <w:rPr/>
      </w:pPr>
      <w:r>
        <w:rPr/>
        <w:t>What FERC Can Do</w:t>
      </w:r>
    </w:p>
    <w:p>
      <w:pPr>
        <w:pStyle w:val="Normal"/>
        <w:spacing w:lineRule="auto" w:line="480"/>
        <w:ind w:firstLine="710" w:end="0"/>
        <w:rPr/>
      </w:pPr>
      <w:r>
        <w:rPr/>
        <w:t xml:space="preserve">IEP believes the FERC can make the greatest strides in assisting California by providing a framework that increases regulatory certainty and improves the atmosphere for needed investment in new supplies at the wholesale level.  </w:t>
      </w:r>
    </w:p>
    <w:p>
      <w:pPr>
        <w:pStyle w:val="Normal"/>
        <w:spacing w:lineRule="auto" w:line="480"/>
        <w:ind w:firstLine="710" w:end="0"/>
        <w:rPr/>
      </w:pPr>
      <w:r>
        <w:rPr>
          <w:i/>
          <w:iCs/>
        </w:rPr>
        <w:t>A.</w:t>
        <w:tab/>
      </w:r>
      <w:r>
        <w:rPr>
          <w:i/>
          <w:iCs/>
          <w:u w:val="single"/>
        </w:rPr>
        <w:t>Create Market Stability and Enhance Regulatory Certainty</w:t>
      </w:r>
    </w:p>
    <w:p>
      <w:pPr>
        <w:pStyle w:val="Normal"/>
        <w:spacing w:lineRule="auto" w:line="480"/>
        <w:ind w:firstLine="710" w:end="0"/>
        <w:rPr/>
      </w:pPr>
      <w:r>
        <w:rPr/>
        <w:t xml:space="preserve">Stability is desperately needed.  California’s marketplace has been through a series of gyrations that have undermined the ability of participants to estimate market risks.  A much higher level of regulatory certainty is absolutely necessary if the capital intensive investments needed in California are going to happen any time soon.  Greater stability is also required if market institutions are to develop and become sufficiently robust.  Firm, clear and unequivocal statements are needed from this Commission and other regulatory bodies to improve the regulatory environment.  Failure to create a more stable environment, or rhetoric and actions that indicate more uncertainty, will drive away the very resources needed to address the supply shortfall.  </w:t>
      </w:r>
    </w:p>
    <w:p>
      <w:pPr>
        <w:pStyle w:val="Normal"/>
        <w:spacing w:lineRule="auto" w:line="480"/>
        <w:ind w:firstLine="710" w:end="0"/>
        <w:rPr/>
      </w:pPr>
      <w:r>
        <w:rPr>
          <w:i/>
          <w:iCs/>
        </w:rPr>
        <w:t>B.</w:t>
        <w:tab/>
      </w:r>
      <w:r>
        <w:rPr>
          <w:i/>
          <w:iCs/>
          <w:u w:val="single"/>
        </w:rPr>
        <w:t>Develop Clearly Defined Standards of Review</w:t>
      </w:r>
    </w:p>
    <w:p>
      <w:pPr>
        <w:pStyle w:val="Normal"/>
        <w:spacing w:lineRule="auto" w:line="480"/>
        <w:ind w:firstLine="710" w:end="0"/>
        <w:rPr/>
      </w:pPr>
      <w:r>
        <w:rPr/>
        <w:t xml:space="preserve">FERC can assist the competitive market structure via the development of criteria/guidelines for the determination of “market power.” Doing so will provide the context of what constitutes “just and reasonable” rates, particularly for markets characterized by scarcity conditions.  The discussion in the November Order and the FERC Report contain ambiguities that are fueling calls for refunds that vastly exceed the Commission’s statutory authority.  Additional comments regarding the need for clear definitions and standards of review, as well as a properly bounded scope for  potential refunds are provided below.  Suffice it to say, ambiguity from the Commission in these areas will simply prolong the period of high regulatory uncertainty to the detriment of California.  </w:t>
      </w:r>
    </w:p>
    <w:p>
      <w:pPr>
        <w:pStyle w:val="Normal"/>
        <w:spacing w:lineRule="auto" w:line="480"/>
        <w:ind w:firstLine="710" w:end="0"/>
        <w:rPr/>
      </w:pPr>
      <w:r>
        <w:rPr>
          <w:i/>
          <w:iCs/>
        </w:rPr>
        <w:t>C.</w:t>
        <w:tab/>
      </w:r>
      <w:r>
        <w:rPr>
          <w:i/>
          <w:iCs/>
          <w:u w:val="single"/>
        </w:rPr>
        <w:t>Create and Ensure a Truly Independent CAISO Board</w:t>
      </w:r>
    </w:p>
    <w:p>
      <w:pPr>
        <w:pStyle w:val="BodyTextIndent"/>
        <w:rPr/>
      </w:pPr>
      <w:r>
        <w:rPr/>
        <w:t>The mandate to create truly Independent Boards for FERC jurisdictional transmission operators such as the ISO is another very important step taken in the November Order.</w:t>
      </w:r>
      <w:r>
        <w:rPr>
          <w:rStyle w:val="FootnoteCharacters"/>
          <w:rStyle w:val="FootnoteReference"/>
        </w:rPr>
        <w:footnoteReference w:id="39"/>
      </w:r>
      <w:r>
        <w:rPr/>
        <w:t xml:space="preserve">  Virtually all parties agree that this is needed.</w:t>
      </w:r>
      <w:r>
        <w:rPr>
          <w:rStyle w:val="FootnoteCharacters"/>
          <w:rStyle w:val="FootnoteReference"/>
        </w:rPr>
        <w:footnoteReference w:id="40"/>
      </w:r>
      <w:r>
        <w:rPr/>
        <w:t xml:space="preserve">  This will help move the CAISO away from gridlock and politicization more toward the type of organization that can anticipate and react to market developments much more quickly and reasonably.  IEP supports a mechanism whereby CAISO management would have a consultant develop a listing of potential candidates for a much smaller board, not to exceed </w:t>
      </w:r>
      <w:r>
        <w:rPr>
          <w:b/>
          <w:bCs/>
        </w:rPr>
        <w:t>[7 or 9?]</w:t>
      </w:r>
      <w:r>
        <w:rPr/>
        <w:t xml:space="preserve"> members including the CEO, who would be selected and seated by the current CAISO board.  Unfortunately, it appears that there are parties who may wish to maintain a politicized CAISO board design.  While alternative approaches can be viable, the primary objective should be the creation of a technically knowledgeable and diverse board, free of overt politicalization, that will be capable of directing the CAISO in the context of the larger Western region.  In light of the events of this summer, eschewing overt politicalization of the board is clearly the only means of ensuring a truly “independent” Independent System Operator.</w:t>
      </w:r>
    </w:p>
    <w:p>
      <w:pPr>
        <w:pStyle w:val="BodyTextIndent"/>
        <w:rPr/>
      </w:pPr>
      <w:r>
        <w:rPr>
          <w:i/>
          <w:iCs/>
        </w:rPr>
        <w:t>D.</w:t>
        <w:tab/>
      </w:r>
      <w:r>
        <w:rPr>
          <w:i/>
          <w:iCs/>
          <w:u w:val="single"/>
        </w:rPr>
        <w:t>If Taken, Clearly Establish Any “Transition” Period</w:t>
      </w:r>
    </w:p>
    <w:p>
      <w:pPr>
        <w:pStyle w:val="BodyTextIndent"/>
        <w:rPr/>
      </w:pPr>
      <w:r>
        <w:rPr/>
        <w:t>There is a real need—if FERC goes in this direction—to establish a clear timeframe or objective criteria for imposition of any “transitional periods” deemed necessary to fix the market structure, coupled with incentives/disincentives to achieve reforms within that timeframe.  For example, the November Order appears to assume a two-year period will be necessary to implement certain market design changes.</w:t>
      </w:r>
      <w:r>
        <w:rPr>
          <w:rStyle w:val="FootnoteCharacters"/>
          <w:rStyle w:val="FootnoteReference"/>
        </w:rPr>
        <w:footnoteReference w:id="41"/>
      </w:r>
      <w:r>
        <w:rPr/>
        <w:t xml:space="preserve">  This may well be the case.  Our concern, however, is that some parties could have incentives not to allow progress on changes which are needed in the long run.  Some form of countervailing force is required to balance the interests.  The establishment of a fixed “transition” period is needed to avoid a perpetually “under construction” market design.  Otherwise some interests could have the incentive to slow needed reforms.  </w:t>
      </w:r>
    </w:p>
    <w:p>
      <w:pPr>
        <w:pStyle w:val="Heading1"/>
        <w:numPr>
          <w:ilvl w:val="0"/>
          <w:numId w:val="5"/>
        </w:numPr>
        <w:ind w:hanging="720" w:start="706" w:end="0"/>
        <w:rPr/>
      </w:pPr>
      <w:r>
        <w:rPr/>
        <w:t>Specific Comments on FERC November Order</w:t>
      </w:r>
    </w:p>
    <w:p>
      <w:pPr>
        <w:pStyle w:val="Normal"/>
        <w:spacing w:lineRule="auto" w:line="480"/>
        <w:ind w:firstLine="706" w:end="0"/>
        <w:rPr/>
      </w:pPr>
      <w:r>
        <w:rPr/>
        <w:t>IEP applauds the Staff Report and portions of the November Order.  IEP believes November Order represents an important and decisive step in the right direction.  While we have areas of concern, we believe the Staff Report represents an outstanding and objective analysis of the problems with “market fundamentals” existing throughout the West.  The Report shows that market participants have acted within the rules, and it concurs with similar findings and conclusions reached by the ISO’s Market Surveillance Committee and the CalPX’s Market Monitoring Committee.</w:t>
      </w:r>
      <w:r>
        <w:rPr>
          <w:rStyle w:val="FootnoteCharacters"/>
          <w:rStyle w:val="FootnoteReference"/>
        </w:rPr>
        <w:footnoteReference w:id="42"/>
      </w:r>
      <w:r>
        <w:rPr/>
        <w:t xml:space="preserve">  The Report and November Order show that our market is operating in a sub-optimal manner during period of high demand throughout the region and that its design can and should be improved.  Clearly, now is the time to move forward and get the long-term options and solutions into place to correct the market design flaws as well as the underlying state of the marketplace.</w:t>
      </w:r>
    </w:p>
    <w:p>
      <w:pPr>
        <w:pStyle w:val="BodyTextIndent2"/>
        <w:spacing w:lineRule="auto" w:line="480"/>
        <w:rPr/>
      </w:pPr>
      <w:r>
        <w:rPr/>
        <w:t xml:space="preserve">We applaud the November Order’s reaffirmation of FERC’s commitment to markets and market-based rate regulation.  We urge you to resist calls for re-regulation.  We also ask that you resist calls to create some type of “hybrid” regulatory system that falls somewhere between traditional cost-of-service rate regulation and market-based systems; such an approach is likely to embrace the worst of both worlds and lead to undesirable and unintended consequences.  It must be recognized that even a so-called “perfect competitive market” can produce results that are not politically popular.  That would have been the case this summer given the increases in fuel and other costs associated with generation.  </w:t>
      </w:r>
    </w:p>
    <w:p>
      <w:pPr>
        <w:pStyle w:val="Heading2"/>
        <w:keepNext w:val="false"/>
        <w:numPr>
          <w:ilvl w:val="0"/>
          <w:numId w:val="5"/>
        </w:numPr>
        <w:rPr>
          <w:b/>
          <w:bCs/>
          <w:i w:val="false"/>
          <w:i w:val="false"/>
          <w:iCs w:val="false"/>
        </w:rPr>
      </w:pPr>
      <w:r>
        <w:rPr>
          <w:b/>
          <w:bCs/>
          <w:i w:val="false"/>
          <w:iCs w:val="false"/>
        </w:rPr>
        <w:t>Clarifications / Modifications are Needed to the November Order</w:t>
      </w:r>
    </w:p>
    <w:p>
      <w:pPr>
        <w:pStyle w:val="BodyText"/>
        <w:spacing w:lineRule="auto" w:line="240"/>
        <w:rPr>
          <w:bCs/>
        </w:rPr>
      </w:pPr>
      <w:r>
        <w:rPr>
          <w:bCs/>
        </w:rPr>
        <w:t>[I have made a number of presumptions on direction here as I’ve had no feedback since we crafted the statement.  We must address issues related to the soft cap, even when we oppose, simply to direct changes should it be adopted.  I’ve also fired against LDPC as unworkable. abb]</w:t>
      </w:r>
    </w:p>
    <w:p>
      <w:pPr>
        <w:pStyle w:val="Normal"/>
        <w:rPr>
          <w:bCs/>
        </w:rPr>
      </w:pPr>
      <w:r>
        <w:rPr>
          <w:bCs/>
        </w:rPr>
      </w:r>
    </w:p>
    <w:p>
      <w:pPr>
        <w:pStyle w:val="BodyTextIndent2"/>
        <w:spacing w:lineRule="auto" w:line="480"/>
        <w:ind w:firstLine="710" w:end="0"/>
        <w:rPr/>
      </w:pPr>
      <w:r>
        <w:rPr/>
        <w:t xml:space="preserve">Modifications and clarifications are needed to the November Order.  In most respects what is needed are additional details to remove potential ambiguities in order to provide clear direction and minimize regulatory uncertainty.  The two major subjects in this area concern the potential for refunds and the imposition of wholesale price caps.  </w:t>
      </w:r>
    </w:p>
    <w:p>
      <w:pPr>
        <w:pStyle w:val="BodyTextIndent2"/>
        <w:spacing w:lineRule="auto" w:line="480"/>
        <w:ind w:firstLine="710" w:end="0"/>
        <w:rPr/>
      </w:pPr>
      <w:r>
        <w:rPr>
          <w:i/>
          <w:iCs/>
        </w:rPr>
        <w:t>A.</w:t>
        <w:tab/>
      </w:r>
      <w:r>
        <w:rPr>
          <w:i/>
          <w:iCs/>
          <w:u w:val="single"/>
        </w:rPr>
        <w:t>The Specter of Retroactive Refunds and “Equitable Solutions”</w:t>
      </w:r>
    </w:p>
    <w:p>
      <w:pPr>
        <w:pStyle w:val="BodyTextIndent2"/>
        <w:spacing w:lineRule="auto" w:line="480"/>
        <w:ind w:firstLine="710" w:end="0"/>
        <w:rPr/>
      </w:pPr>
      <w:r>
        <w:rPr/>
        <w:t>The November Order fails to definitively address important details concerning the risks of refunds in terms of (a) retroactive refunds prior to October 2, 2000, and (b) in terms of some oblique reference to “equitable solutions.”  The specter of these two concepts are threatens the swift correction to the ills of the markets today.</w:t>
      </w:r>
    </w:p>
    <w:p>
      <w:pPr>
        <w:pStyle w:val="BodyTextIndent2"/>
        <w:spacing w:lineRule="auto" w:line="480"/>
        <w:ind w:firstLine="710" w:end="0"/>
        <w:rPr/>
      </w:pPr>
      <w:r>
        <w:rPr/>
        <w:t xml:space="preserve">IEP firmly believes that the suggestion of potential retroactive refunds associated with transactions </w:t>
      </w:r>
      <w:r>
        <w:rPr>
          <w:i/>
          <w:iCs/>
        </w:rPr>
        <w:t>prior to</w:t>
      </w:r>
      <w:r>
        <w:rPr/>
        <w:t xml:space="preserve"> October 2 cannot be supported by the law.  Suggestions of retroactive refunds completely undermines real improvements toward market and regulatory stability undertaken elsewhere in the November Order.  IEP supports FERC’s analysis rejecting the suggestion of retroactive refunds as described in Appendix E of the November Order.  The threat of potential refunds outside the 15-month statutory period refund period creates an expansive refund “cloud” over California (unrelated to any particular participant behavior) that will impede desperately needed investments in new capacity throughout the West.  Moreover, to IEP’s knowledge no party presented any suggestions about the practical problems of how one might “unwind” the multitude of transactional steps associated with delivery of power to consumers.  The only certainty associated with such efforts will be years of extensive litigation.</w:t>
      </w:r>
    </w:p>
    <w:p>
      <w:pPr>
        <w:pStyle w:val="BodyTextIndent2"/>
        <w:spacing w:lineRule="auto" w:line="480"/>
        <w:ind w:firstLine="710" w:end="0"/>
        <w:rPr/>
      </w:pPr>
      <w:r>
        <w:rPr/>
        <w:t xml:space="preserve">Much more troubling is the suggestion that some type of “equitable solution” beyond the Commission’s statutory refund authority will be entertained.  Such language epitomizes the type of action that will destroy the investment and market environment that the Commission and others have worked diligently to develop.  It suggests that some amorphous, undefinable, non-market standard will be applied to market-based results irrespective of a parties adherance to market rules simply for the purpose of retroactively altering the value of energy and ancillary services long after they are delivered.  This ill-conceived concept is the most likely to signal the end of a competitive market in California.  It could have the completely undesirable consequence of discouraging development of high-cost resources that operate during the limited peak hours because of an indefinable risk of subsequent confiscations.  </w:t>
      </w:r>
    </w:p>
    <w:p>
      <w:pPr>
        <w:pStyle w:val="BodyTextIndent2"/>
        <w:spacing w:lineRule="auto" w:line="480"/>
        <w:ind w:firstLine="710" w:end="0"/>
        <w:rPr/>
      </w:pPr>
      <w:r>
        <w:rPr/>
        <w:t>We respectfully urge the Commission to remove any and all suggestions that it will act in excess of statutory authority and order refunds based on some unknown, subjective and undefined basis.  Market participants are used to and capable of addressing market-associated risks such as fuel costs and operating factors.  The risks associated with this proposal cannot be managed or hedged.  The “equitable solutions” language found in the November Order only invites litigation and exacerbates uncertainty that will harm California.  Recent media accounts are replete with opinions that the language found in the November Order will form the basis of litigation that we believe will mire development of real solutions.  It represents the antithesis of a legal standard of review and cannot provide the Commission or market participants with established legal principles upon which to analyze market activities and allegations of abuses.  Because of this we believe that this “equitable solutions” language should be eliminated.  If FERC takes the ill-advised route and decides to retain this proposal, you must explicitly state the nature of this risk and clarify in the most unequivocal of terms that it is a temporary “transition” device only and that it will end on a date certain and not be subject to reopening.  Without an end date to these risks, forward markets cannot operate effectively, if at all.  FERC must also make clear that generators selling their output under forward, bilateral arrangements or through competitive exchanges will not be at risk for any subsequent transactions or resales by counterparties, otherwise there will be a new set of market risks that will threaten existing contractual arrangements as well as impose tremendous new transaction costs upon the marketplace.</w:t>
      </w:r>
    </w:p>
    <w:p>
      <w:pPr>
        <w:pStyle w:val="BodyTextIndent2"/>
        <w:numPr>
          <w:ilvl w:val="0"/>
          <w:numId w:val="4"/>
        </w:numPr>
        <w:rPr>
          <w:i/>
          <w:i/>
          <w:iCs/>
          <w:u w:val="single"/>
        </w:rPr>
      </w:pPr>
      <w:r>
        <w:rPr>
          <w:i/>
          <w:iCs/>
          <w:u w:val="single"/>
        </w:rPr>
        <w:t>The Basis For Prospective Refunds Should Be Clearly Established as the Abuse of Market Power</w:t>
      </w:r>
    </w:p>
    <w:p>
      <w:pPr>
        <w:pStyle w:val="BodyTextIndent2"/>
        <w:rPr>
          <w:i/>
          <w:i/>
          <w:iCs/>
          <w:u w:val="single"/>
        </w:rPr>
      </w:pPr>
      <w:r>
        <w:rPr>
          <w:i/>
          <w:iCs/>
          <w:u w:val="single"/>
        </w:rPr>
      </w:r>
    </w:p>
    <w:p>
      <w:pPr>
        <w:pStyle w:val="BodyTextIndent"/>
        <w:rPr/>
      </w:pPr>
      <w:r>
        <w:rPr/>
        <w:t>Another area of ambiguity created by the November Order is the specific standard that will be applied when ascertaining the need for refunds of market-based rates.  There is an unquestionable need to establish clear standards of review for investigating allegations of abuses of market power, including the time frame which will be analyzed.  It is difficult, if not impossible, for adequate regulatory certainty to exist where the standards are not known or knowable.  IEP firmly believes that the appropriate standard to trigger potential refunds must be the “abuse of market power.” This standard should be clearly defined as the manipulation of market results over a recognized period of time.</w:t>
      </w:r>
      <w:r>
        <w:rPr>
          <w:rStyle w:val="FootnoteCharacters"/>
          <w:rStyle w:val="FootnoteReference"/>
        </w:rPr>
        <w:footnoteReference w:id="43"/>
      </w:r>
      <w:r>
        <w:rPr/>
        <w:t xml:space="preserve">  Such a standard is behavior-based, definable and appropriate for the marketplace.  Unfortunately, it appears that some parties will argue that refunds for “market manipulation” should be based on a subjective standard such as market prices based on a presumption that market-based rates exceeding a price could only result from bad behavior.</w:t>
      </w:r>
      <w:r>
        <w:rPr>
          <w:rStyle w:val="FootnoteCharacters"/>
          <w:rStyle w:val="FootnoteReference"/>
        </w:rPr>
        <w:footnoteReference w:id="44"/>
      </w:r>
      <w:r>
        <w:rPr/>
        <w:t xml:space="preserve">  FERC must reject this route and establish a clear refund standard based on bad behavior rather than one which would punish participants for unpopular market results. </w:t>
      </w:r>
    </w:p>
    <w:p>
      <w:pPr>
        <w:pStyle w:val="BodyTextIndent"/>
        <w:rPr/>
      </w:pPr>
      <w:r>
        <w:rPr/>
        <w:t>There is a need to recognize that all projects must recover their capital and fixed costs from the market revenues.  The recovery of costs from the marketplace is the cornerstone to a market-based restructuring.</w:t>
      </w:r>
      <w:r>
        <w:rPr>
          <w:rStyle w:val="FootnoteCharacters"/>
          <w:rStyle w:val="FootnoteReference"/>
        </w:rPr>
        <w:footnoteReference w:id="45"/>
      </w:r>
      <w:r>
        <w:rPr/>
        <w:t xml:space="preserve">  This means that prices resulting from the market will reflect a host of perceptions, conditions and costs.  As long as parties behave consistent with the rules of the marketplace, they should be able to rest assured that the results will be considered just and reasonable.  They should also know that if they abuse any market power they may hold, they will be disgorge of the resulting excess revenues.  Any other type of non-behavioral standard will ultimately increase participants’ perception of market risk, and hence will cause an elevation of prices.  </w:t>
      </w:r>
    </w:p>
    <w:p>
      <w:pPr>
        <w:pStyle w:val="BodyTextIndent2"/>
        <w:numPr>
          <w:ilvl w:val="0"/>
          <w:numId w:val="4"/>
        </w:numPr>
        <w:rPr>
          <w:i/>
          <w:i/>
          <w:iCs/>
          <w:u w:val="single"/>
        </w:rPr>
      </w:pPr>
      <w:r>
        <w:rPr>
          <w:i/>
          <w:iCs/>
          <w:u w:val="single"/>
        </w:rPr>
        <w:t xml:space="preserve">Issues Concerning Implementation of the “Soft Cap.”  </w:t>
      </w:r>
    </w:p>
    <w:p>
      <w:pPr>
        <w:pStyle w:val="BodyTextIndent2"/>
        <w:ind w:hanging="0" w:start="710" w:end="0"/>
        <w:rPr>
          <w:i/>
          <w:i/>
          <w:iCs/>
          <w:u w:val="single"/>
        </w:rPr>
      </w:pPr>
      <w:r>
        <w:rPr>
          <w:i/>
          <w:iCs/>
          <w:u w:val="single"/>
        </w:rPr>
      </w:r>
    </w:p>
    <w:p>
      <w:pPr>
        <w:pStyle w:val="BodyTextIndent"/>
        <w:rPr/>
      </w:pPr>
      <w:r>
        <w:rPr/>
        <w:t>IEP has concerns about the implementation of the “soft cap” proposal.  IEP has not and does not support price caps because it impedes the operation of the market and distorts price signals.  Such mechanisms should have no place in competitive markets in the long-run.  The Staff Report notes that caps do not work.</w:t>
      </w:r>
      <w:r>
        <w:rPr>
          <w:rStyle w:val="FootnoteCharacters"/>
          <w:rStyle w:val="FootnoteReference"/>
        </w:rPr>
        <w:footnoteReference w:id="46"/>
      </w:r>
      <w:r>
        <w:rPr/>
        <w:t xml:space="preserve">  IEP is concerned, as are others, that the soft cap proposal will fail to attract new investments in supply or foster meaningful demand response.</w:t>
      </w:r>
      <w:r>
        <w:rPr>
          <w:rStyle w:val="FootnoteCharacters"/>
          <w:rStyle w:val="FootnoteReference"/>
        </w:rPr>
        <w:footnoteReference w:id="47"/>
      </w:r>
      <w:r>
        <w:rPr/>
        <w:t xml:space="preserve">   It is particularly problematic in terms of attracting new capacity that will operate as peaker units for a limited number of hours when weather-induced demand cannot be met from less expensive units or imports.</w:t>
      </w:r>
      <w:r>
        <w:rPr>
          <w:rStyle w:val="FootnoteCharacters"/>
          <w:rStyle w:val="FootnoteReference"/>
        </w:rPr>
        <w:footnoteReference w:id="48"/>
      </w:r>
      <w:r>
        <w:rPr/>
        <w:t xml:space="preserve">  </w:t>
      </w:r>
    </w:p>
    <w:p>
      <w:pPr>
        <w:pStyle w:val="BodyTextIndent"/>
        <w:rPr/>
      </w:pPr>
      <w:r>
        <w:rPr/>
        <w:t>The soft cap also appears to be especially problematic to power marketers who make wholesale purchases for subsequent resale but who may not own the underlying physical generation assets.  These entities have a major role in the marketplace in terms of bringing demand and supply together and they seek return on the risks they undertake.  These entities will perceive the “soft cap” as a “hard cap” which will chill their participation in California, particularly when regional supplies become tight and expensive.</w:t>
      </w:r>
      <w:r>
        <w:rPr>
          <w:rStyle w:val="FootnoteCharacters"/>
          <w:rStyle w:val="FootnoteReference"/>
        </w:rPr>
        <w:footnoteReference w:id="49"/>
      </w:r>
      <w:r>
        <w:rPr/>
        <w:t xml:space="preserve">  This unintended consequence must be avoided or the markets will be hobbled.  </w:t>
      </w:r>
    </w:p>
    <w:p>
      <w:pPr>
        <w:pStyle w:val="BodyTextIndent"/>
        <w:rPr/>
      </w:pPr>
      <w:r>
        <w:rPr/>
        <w:t>IEP echoes the concern articulated by the CAISO that the soft cap proposal may divert or require additional ISO resources.</w:t>
      </w:r>
      <w:r>
        <w:rPr>
          <w:rStyle w:val="FootnoteCharacters"/>
          <w:rStyle w:val="FootnoteReference"/>
        </w:rPr>
        <w:footnoteReference w:id="50"/>
      </w:r>
      <w:r>
        <w:rPr/>
        <w:t xml:space="preserve">   It will clearly compound the settlement processes at the CAISO as transactions above the soft cap will require additional tracking and segregation to allow for potential “unwinding” should the bids be disallowed.  It will also require some form of new software to provide for potential calculation of the weighted averaged prices suggested in the November Order, presumably in 10-minute increments, to blend with the market clearing prices established in the various markets.  Moreover, if that averaged price associated with bids above the cap is modified often, then CAISO will be required to “re-run” settlements or undertake subsequent settlement adjustments.  It is possible that these efforts—which are suggested as temporary measures in the November Order—would take away from CAISO’s efforts at developing solutions to longer-run problems in terms of software modifications/development.  At first blush the details regarding implementation of the soft cap proposal are not straightforward as currently described, and any further exploration this approach will at least require a “technical conference” to clarify the mechanics and to ensure that it can be done in a reasonable manner.  </w:t>
      </w:r>
    </w:p>
    <w:p>
      <w:pPr>
        <w:pStyle w:val="BodyTextIndent"/>
        <w:rPr/>
      </w:pPr>
      <w:r>
        <w:rPr>
          <w:b/>
          <w:bCs/>
        </w:rPr>
        <w:t>[the following must be discussed and was drafted after discussion with IEP staff; its premised on the notion that some compromise will have to happen or we’ll get something worse, and its aimed at putting pressure back at CPUC/Gov.</w:t>
      </w:r>
      <w:r>
        <w:rPr/>
        <w:t>]</w:t>
      </w:r>
    </w:p>
    <w:p>
      <w:pPr>
        <w:pStyle w:val="BodyTextIndent"/>
        <w:rPr/>
      </w:pPr>
      <w:r>
        <w:rPr/>
        <w:t>IEP could only support the soft cap proposal if it is part of a negotiated package of inter-jurisdictional programs, and provided that it is subject to an pre-established unidirectional escalation mechanism, or a similar on-way mechanism that is tied to the development of new capacity within the WSCC.  The inter-jurisdictional elements must include:</w:t>
      </w:r>
    </w:p>
    <w:p>
      <w:pPr>
        <w:pStyle w:val="BodyTextIndent"/>
        <w:numPr>
          <w:ilvl w:val="0"/>
          <w:numId w:val="7"/>
        </w:numPr>
        <w:spacing w:lineRule="auto" w:line="360"/>
        <w:rPr/>
      </w:pPr>
      <w:r>
        <w:rPr/>
        <w:t xml:space="preserve">establishment of standards applicable to potential refunds based on allegations of market power abuse in FERC jurisdictional markets; </w:t>
      </w:r>
    </w:p>
    <w:p>
      <w:pPr>
        <w:pStyle w:val="BodyTextIndent"/>
        <w:numPr>
          <w:ilvl w:val="0"/>
          <w:numId w:val="7"/>
        </w:numPr>
        <w:spacing w:lineRule="auto" w:line="360"/>
        <w:rPr/>
      </w:pPr>
      <w:r>
        <w:rPr/>
        <w:t>definition of durable reasonableness review standards applicable to wholesale purchases by the load serving utilities such that they will no longer be discouraged from entering bilateral arrangements on a forward basis;</w:t>
      </w:r>
    </w:p>
    <w:p>
      <w:pPr>
        <w:pStyle w:val="BodyTextIndent"/>
        <w:numPr>
          <w:ilvl w:val="0"/>
          <w:numId w:val="7"/>
        </w:numPr>
        <w:spacing w:lineRule="auto" w:line="360"/>
        <w:rPr/>
      </w:pPr>
      <w:r>
        <w:rPr/>
        <w:t>establishment of a “road map” by the California Commission that delineates a firm timeline—with milestones—for the review and resolution of retail market issues including market-based demand responsiveness;</w:t>
      </w:r>
    </w:p>
    <w:p>
      <w:pPr>
        <w:pStyle w:val="BodyTextIndent"/>
        <w:numPr>
          <w:ilvl w:val="0"/>
          <w:numId w:val="7"/>
        </w:numPr>
        <w:spacing w:lineRule="auto" w:line="360"/>
        <w:rPr/>
      </w:pPr>
      <w:r>
        <w:rPr/>
        <w:t>establishment of a “road map” by this Commission, in consultation with the CAISO, that delineates a firm timeline—with milestones—for the review and resolution of implementation issues associated with the Commission’s subsequent order in this docket as well as other outstanding proposals such as generation interconnection rules and congestion management;</w:t>
      </w:r>
    </w:p>
    <w:p>
      <w:pPr>
        <w:pStyle w:val="BodyTextIndent"/>
        <w:numPr>
          <w:ilvl w:val="0"/>
          <w:numId w:val="7"/>
        </w:numPr>
        <w:spacing w:lineRule="auto" w:line="360"/>
        <w:rPr/>
      </w:pPr>
      <w:r>
        <w:rPr/>
        <w:t>establishment of firm sunset date, not to exceed 2003, to bound the duration of soft cap, and implement a unidirectional escalation mechanism, not subject to subsequent lowering, which is based either on a pre-established schedule or tied to increases in installed capacity within the WSCC.</w:t>
      </w:r>
    </w:p>
    <w:p>
      <w:pPr>
        <w:pStyle w:val="BodyTextIndent2"/>
        <w:numPr>
          <w:ilvl w:val="0"/>
          <w:numId w:val="4"/>
        </w:numPr>
        <w:spacing w:lineRule="auto" w:line="480"/>
        <w:rPr>
          <w:i/>
          <w:i/>
          <w:iCs/>
        </w:rPr>
      </w:pPr>
      <w:r>
        <w:rPr>
          <w:i/>
          <w:iCs/>
          <w:u w:val="single"/>
        </w:rPr>
        <w:t>Elimination of a Lingering Refund Risk</w:t>
      </w:r>
    </w:p>
    <w:p>
      <w:pPr>
        <w:pStyle w:val="Normal"/>
        <w:spacing w:lineRule="auto" w:line="480"/>
        <w:ind w:firstLine="710" w:end="0"/>
        <w:rPr/>
      </w:pPr>
      <w:r>
        <w:rPr/>
        <w:t>The Commission should limit the duration of any refund risk, as suggested by parties at the November 9 hearing.</w:t>
      </w:r>
      <w:r>
        <w:rPr>
          <w:rStyle w:val="FootnoteCharacters"/>
          <w:rStyle w:val="FootnoteReference"/>
        </w:rPr>
        <w:footnoteReference w:id="51"/>
      </w:r>
      <w:r>
        <w:rPr/>
        <w:t xml:space="preserve">  Irrespective of whether or not a capping mechanism is applied, there needs to be some type of  limitation on the refund risk going forward.  Open-ended risk of subsequent refunds—particularly if the “soft cap” or “equitable solutions” concepts are pursued—will have the tremendous unintended consequences that will yield higher prices based on the perception of greater market risks.  To this end, and irrespective of whether a capping mechanism is in place, there is a need to establish a workable and relatively short period for the “flagging” of transactions as potential subject to refund.  </w:t>
      </w:r>
    </w:p>
    <w:p>
      <w:pPr>
        <w:pStyle w:val="BodyTextIndent2"/>
        <w:numPr>
          <w:ilvl w:val="0"/>
          <w:numId w:val="4"/>
        </w:numPr>
        <w:rPr>
          <w:i/>
          <w:i/>
          <w:iCs/>
        </w:rPr>
      </w:pPr>
      <w:r>
        <w:rPr>
          <w:i/>
          <w:iCs/>
          <w:u w:val="single"/>
        </w:rPr>
        <w:t>“</w:t>
      </w:r>
      <w:r>
        <w:rPr>
          <w:i/>
          <w:iCs/>
          <w:u w:val="single"/>
        </w:rPr>
        <w:t>Load Differentiated” Price Caps Are Unworkable And Undermine Market Operations</w:t>
      </w:r>
    </w:p>
    <w:p>
      <w:pPr>
        <w:pStyle w:val="Normal"/>
        <w:rPr>
          <w:i/>
          <w:i/>
          <w:iCs/>
        </w:rPr>
      </w:pPr>
      <w:r>
        <w:rPr>
          <w:i/>
          <w:iCs/>
        </w:rPr>
      </w:r>
    </w:p>
    <w:p>
      <w:pPr>
        <w:pStyle w:val="BodyTextIndent2"/>
        <w:spacing w:lineRule="auto" w:line="480"/>
        <w:rPr/>
      </w:pPr>
      <w:r>
        <w:rPr/>
        <w:t>IEP opposes the concept of “load differentiated price caps” (“LDPCs”) because they add yet another layer of complexity to the marketplace that will undermine the efficient operation of the forward markets.  This opposition is consistent with a number of parties who opposed CAISO’s attempt to adopt such a proposal.</w:t>
      </w:r>
      <w:r>
        <w:rPr>
          <w:rStyle w:val="FootnoteCharacters"/>
          <w:rStyle w:val="FootnoteReference"/>
        </w:rPr>
        <w:footnoteReference w:id="52"/>
      </w:r>
      <w:r>
        <w:rPr/>
        <w:t xml:space="preserve">  The Commission rejected the proposal in the November Order and it must similarly reject any renewed calls for its implementation.  </w:t>
      </w:r>
    </w:p>
    <w:p>
      <w:pPr>
        <w:pStyle w:val="BodyTextIndent2"/>
        <w:spacing w:lineRule="auto" w:line="480"/>
        <w:rPr/>
      </w:pPr>
      <w:r>
        <w:rPr/>
        <w:t>LDPCs present incredible implementation issues, including the same, if not greater, types of resource demands which the soft cap will present.  Despite protestations to the contrary, it is a cost-based cap as it posits a proxy “system” efficiency as to particular demand levels.</w:t>
      </w:r>
      <w:r>
        <w:rPr>
          <w:rStyle w:val="FootnoteCharacters"/>
          <w:rStyle w:val="FootnoteReference"/>
        </w:rPr>
        <w:footnoteReference w:id="53"/>
      </w:r>
      <w:r>
        <w:rPr/>
        <w:t xml:space="preserve">  The proposal utilizes gas prices from a distant trading hub and ignores gas transportation costs into California.  The proponents of this non-market scheme present no evidence that the demand/efficiency differentiation that they propose is related to or reflects the operations of California’s aged resource fleet.  It is an arbitrary approach riddled with implementation and verification nightmares and designed solely to generate low prices irrespective of regional market conditions.</w:t>
      </w:r>
      <w:r>
        <w:rPr>
          <w:rStyle w:val="FootnoteCharacters"/>
          <w:rStyle w:val="FootnoteReference"/>
        </w:rPr>
        <w:footnoteReference w:id="54"/>
      </w:r>
      <w:r>
        <w:rPr/>
        <w:t xml:space="preserve">  The Commission must recognize that floating price caps, much like other repeated efforts to lower the CAISO’s purchase price caps, ultimately undermines the operation of the forward markets because no buyer or seller will entertain transactions that will likely become “overpriced” by subsequent regulatory fiat.</w:t>
      </w:r>
      <w:r>
        <w:rPr>
          <w:rStyle w:val="FootnoteCharacters"/>
          <w:rStyle w:val="FootnoteReference"/>
        </w:rPr>
        <w:footnoteReference w:id="55"/>
      </w:r>
      <w:r>
        <w:rPr/>
        <w:t xml:space="preserve">  LDPCs are a bad idea that should be permanently laid to rest.  </w:t>
      </w:r>
    </w:p>
    <w:p>
      <w:pPr>
        <w:pStyle w:val="BodyTextIndent2"/>
        <w:spacing w:lineRule="auto" w:line="480"/>
        <w:rPr>
          <w:b/>
          <w:bCs/>
        </w:rPr>
      </w:pPr>
      <w:r>
        <w:rPr>
          <w:b/>
          <w:bCs/>
        </w:rPr>
        <w:t>[This section is pretty close to what was in the earlier statement, and is primarily intended to put pressure on the Gov and CPUC.]</w:t>
      </w:r>
    </w:p>
    <w:p>
      <w:pPr>
        <w:pStyle w:val="Heading1"/>
        <w:numPr>
          <w:ilvl w:val="0"/>
          <w:numId w:val="6"/>
        </w:numPr>
        <w:rPr/>
      </w:pPr>
      <w:r>
        <w:rPr/>
        <w:t>State Level Impediments Frustrate Market Self-Correction</w:t>
      </w:r>
    </w:p>
    <w:p>
      <w:pPr>
        <w:pStyle w:val="Normal"/>
        <w:spacing w:lineRule="auto" w:line="480"/>
        <w:ind w:firstLine="706" w:end="0"/>
        <w:rPr/>
      </w:pPr>
      <w:r>
        <w:rPr/>
        <w:t xml:space="preserve">IEP recognizes that FERC has a relatively narrow set of issues that clearly fall within its jurisdiction, and that the must larger set of market improvements can and must be made in areas subject to the State’s regulation.  As stated earlier, and notwithstanding rhetoric circulating regarding the “federalization” of California’s energy markets, the lion’s share of market design improvements </w:t>
      </w:r>
      <w:r>
        <w:rPr>
          <w:i/>
          <w:iCs/>
        </w:rPr>
        <w:t>can only come</w:t>
      </w:r>
      <w:r>
        <w:rPr/>
        <w:t xml:space="preserve"> from State-level actions to remove impediments to new supply and to improve supply procurement strategies.  We applaud your identification of these issues and we hope that those agencies with the ability to correct those problems will do so expeditiously.  There should be a common goal of creating wholesale and retail market structures that will allow for load aggregation, differentiation and response founded on a basis of customer choice, with sufficient market stability to foster investments in conservation, demand response and new supplies in conjunction with sufficient procurement flexibility for the providers serving those loads.  Other steps must be taken at the State level.  While legislative changes were made this past summer with the intention of simplifying the construction of new supplies, it now appears that few, if any, projects will be able to take advantage of those provisions.</w:t>
      </w:r>
      <w:r>
        <w:rPr>
          <w:rStyle w:val="FootnoteCharacters"/>
          <w:rStyle w:val="FootnoteReference"/>
        </w:rPr>
        <w:footnoteReference w:id="56"/>
      </w:r>
      <w:r>
        <w:rPr/>
        <w:t xml:space="preserve">  Additionally, some projects now in the “permitting pipeline” will not come through the other side, and others that do gain regulatory permits could face other insurmountable hurdles that will preclude their construction.  </w:t>
      </w:r>
      <w:r>
        <w:rPr>
          <w:b/>
          <w:bCs/>
        </w:rPr>
        <w:t>[do we drop the “peaker withdrawal” line here?]</w:t>
      </w:r>
    </w:p>
    <w:p>
      <w:pPr>
        <w:pStyle w:val="BodyTextIndent"/>
        <w:rPr/>
      </w:pPr>
      <w:r>
        <w:rPr/>
        <w:t>Better forward contracting by the utilities (and customers within the retail market) can make tremendous improvements in California, including reductions in the reliance on the CAISO’s realtime markets..  Certain steps must be made in short order to provide parties with time to contract supplies for the peak period with is less than seven months away.  Obviously the changes in this area must also ensure that the incumbent utilities cannot thwart development of certain other needed retail solutions, such as the creation of market-based demand responsiveness and enhanced customer choice.  But removal of the Buy/Sell requirement alone is not sufficient.  Since June of this year, IEP’s members have presented offers to the utilities at competitive prices that were below the then-current price caps, but apparently regulatory concerns—namely lack of clear reasonableness review standards or the failure to gain timely advanced approval as to the reasonableness of utility actions—stalled the consummation of some deals.</w:t>
      </w:r>
      <w:r>
        <w:rPr>
          <w:rStyle w:val="FootnoteCharacters"/>
          <w:rStyle w:val="FootnoteReference"/>
        </w:rPr>
        <w:footnoteReference w:id="57"/>
      </w:r>
      <w:r>
        <w:rPr/>
        <w:t xml:space="preserve">  While PG&amp;E has recently very taken steps to protect its customers and has entered a number of multi-year forward arrangements, others seem unwilling to secure such supplies in the mysterious belief that—notwithstanding new highs in gas costs and continuing load growth—forward market prices will be lower in the summer.</w:t>
      </w:r>
      <w:r>
        <w:rPr>
          <w:rStyle w:val="FootnoteCharacters"/>
          <w:rStyle w:val="FootnoteReference"/>
        </w:rPr>
        <w:footnoteReference w:id="58"/>
      </w:r>
      <w:r>
        <w:rPr/>
        <w:t xml:space="preserve">  Presumably retail consumers will be informed of the steps, or lack thereof, that their commodity providers have taken to weather the next peak demand period.  Clearly, any “pre-approval” of a proposed utility transaction needing more than a month of review time will severely undermine the benefits of improved procurement flexibility.  State reasonableness review issues are now impeding execution of these forward bilateral deals, effectively creating a double bind where the consumers ultimately lose because supplies are not committed under forward arrangements.</w:t>
      </w:r>
    </w:p>
    <w:p>
      <w:pPr>
        <w:pStyle w:val="Normal"/>
        <w:spacing w:lineRule="auto" w:line="480"/>
        <w:ind w:firstLine="710" w:end="0"/>
        <w:rPr/>
      </w:pPr>
      <w:r>
        <w:rPr/>
        <w:t>Development of price responsiveness and robust retail competition is essential to allow economic signals to shine throughout the region.  The surplus supply conditions assumed at the time the initial California design was crafted do not exist today.  Ultimately, consumers must recognize that the value and price of energy is impacted by region-wide conditions, including regional weather variations, hydro availability and the fact that demand has outstripped supply in a number of states.  Recognition of the seasonal value of energy is needed to spur conservation and the development of new efficient technologies, as well as innovation in the provision of services to customers and the development of new supplies.  The retail rate freeze—particularly under the current market conditions—exacerbates the types of problems identified in the Staff Report, undermines the development of price-responsive loads and is merely a political panacea which will eventually lead to higher costs for consumers.</w:t>
      </w:r>
      <w:r>
        <w:rPr>
          <w:rStyle w:val="FootnoteCharacters"/>
          <w:rStyle w:val="FootnoteReference"/>
        </w:rPr>
        <w:footnoteReference w:id="59"/>
      </w:r>
      <w:r>
        <w:rPr/>
        <w:t xml:space="preserve">  However, we also recognize that consumers, particularly residential and small commercial customers, desire greater rate stability and certainty.  IEP anticipates supporting efforts to revitalize retail competition and customer choice in light of the lessons learned since the implementation of the initial market design.  Obviously we are at a crossroads, and the opportunity exists to take an evolutionary step forward and make needed improvements, or alternatively parties can resist any meaningful progress.</w:t>
      </w:r>
    </w:p>
    <w:p>
      <w:pPr>
        <w:pStyle w:val="BodyTextIndent"/>
        <w:rPr/>
      </w:pPr>
      <w:r>
        <w:rPr/>
        <w:t xml:space="preserve">There are a number of options and solutions where the State needs to “pick up the ball” and move forward—quickly and decisively.  For example, the CPUC could: </w:t>
      </w:r>
    </w:p>
    <w:p>
      <w:pPr>
        <w:pStyle w:val="BodyTextIndent2"/>
        <w:numPr>
          <w:ilvl w:val="0"/>
          <w:numId w:val="3"/>
        </w:numPr>
        <w:rPr/>
      </w:pPr>
      <w:r>
        <w:rPr/>
        <w:t>move on issues regarding defining the role of the utilities and default providers in the restructured markets;</w:t>
      </w:r>
    </w:p>
    <w:p>
      <w:pPr>
        <w:pStyle w:val="BodyTextIndent2"/>
        <w:numPr>
          <w:ilvl w:val="0"/>
          <w:numId w:val="3"/>
        </w:numPr>
        <w:rPr/>
      </w:pPr>
      <w:r>
        <w:rPr/>
        <w:t xml:space="preserve">complete the process of rate unbundling it began in 1996 by fully separating commodity-related costs from wires costs;  </w:t>
      </w:r>
    </w:p>
    <w:p>
      <w:pPr>
        <w:pStyle w:val="BodyTextIndent2"/>
        <w:numPr>
          <w:ilvl w:val="0"/>
          <w:numId w:val="3"/>
        </w:numPr>
        <w:rPr/>
      </w:pPr>
      <w:r>
        <w:rPr/>
        <w:t>clarify and create some certainty regarding the reasonableness standards applicable to utility commodity procurement;</w:t>
      </w:r>
    </w:p>
    <w:p>
      <w:pPr>
        <w:pStyle w:val="BodyTextIndent2"/>
        <w:numPr>
          <w:ilvl w:val="0"/>
          <w:numId w:val="3"/>
        </w:numPr>
        <w:rPr/>
      </w:pPr>
      <w:r>
        <w:rPr/>
        <w:t xml:space="preserve">quickly complete the new investigation started last month into interruptible rates and demand responsiveness such that loads can respond before a system emergency is declared.  </w:t>
      </w:r>
    </w:p>
    <w:p>
      <w:pPr>
        <w:pStyle w:val="BodyTextIndent2"/>
        <w:ind w:hanging="0" w:start="720" w:end="0"/>
        <w:rPr/>
      </w:pPr>
      <w:r>
        <w:rPr/>
      </w:r>
    </w:p>
    <w:p>
      <w:pPr>
        <w:pStyle w:val="BodyTextIndent2"/>
        <w:spacing w:lineRule="auto" w:line="480"/>
        <w:ind w:firstLine="710" w:end="0"/>
        <w:rPr/>
      </w:pPr>
      <w:r>
        <w:rPr/>
        <w:t>The CPUC has before it a number of pending applications regarding transmission projects, and recently a new proceeding, expected to take many months to complete, will “review” the ISO’s efforts to secure peaking resources needed by the State in approximately 210 days.</w:t>
      </w:r>
      <w:r>
        <w:rPr>
          <w:rStyle w:val="FootnoteCharacters"/>
          <w:rStyle w:val="FootnoteReference"/>
        </w:rPr>
        <w:footnoteReference w:id="60"/>
      </w:r>
      <w:r>
        <w:rPr/>
        <w:t xml:space="preserve">  As the Commission is well aware, regulatory uncertainty and community opposition has led to the withdrawal of some of these projects, and it is not clear whether they could be operational in time for the start of summer.</w:t>
      </w:r>
      <w:r>
        <w:rPr>
          <w:rStyle w:val="FootnoteCharacters"/>
          <w:rStyle w:val="FootnoteReference"/>
        </w:rPr>
        <w:footnoteReference w:id="61"/>
      </w:r>
      <w:r>
        <w:rPr/>
        <w:t xml:space="preserve">    </w:t>
      </w:r>
    </w:p>
    <w:p>
      <w:pPr>
        <w:pStyle w:val="Heading1"/>
        <w:numPr>
          <w:ilvl w:val="0"/>
          <w:numId w:val="5"/>
        </w:numPr>
        <w:rPr/>
      </w:pPr>
      <w:r>
        <w:rPr/>
        <w:t>Conclusion: It is Critical to Move Forward to Solve These Problems</w:t>
      </w:r>
    </w:p>
    <w:p>
      <w:pPr>
        <w:pStyle w:val="Normal"/>
        <w:rPr>
          <w:b/>
          <w:bCs/>
        </w:rPr>
      </w:pPr>
      <w:r>
        <w:rPr>
          <w:b/>
          <w:bCs/>
        </w:rPr>
        <w:t>[conclusion and executive summary will be done after discussion.]</w:t>
      </w:r>
    </w:p>
    <w:p>
      <w:pPr>
        <w:pStyle w:val="Normal"/>
        <w:spacing w:lineRule="auto" w:line="480"/>
        <w:ind w:firstLine="710" w:end="0"/>
        <w:rPr>
          <w:bCs/>
        </w:rPr>
      </w:pPr>
      <w:r>
        <w:rPr/>
        <w:t>It must be repeated that time is of the essence.  Summer will not wait for the resources and other options to be in place.  The Staff Report shows that the West as a whole—and California in particular—is extremely sensitive to weather-induced demand.  The peak season will be here in about 210 days, and that fact cannot be mitigated or legislated away.  WSCC reserves margins continue to be short and are not projected to improve without decisive steps now.  The real costs associated with a local or regional blackout will be extensive.  Action must happen now to provide the possibility that at least some new resources can be in place this summer; any additional delays will ensure that they are not.</w:t>
      </w:r>
    </w:p>
    <w:p>
      <w:pPr>
        <w:pStyle w:val="Normal"/>
        <w:spacing w:lineRule="auto" w:line="480"/>
        <w:rPr/>
      </w:pPr>
      <w:r>
        <w:rPr/>
        <w:t>Dated:  November 22, 2000</w:t>
        <w:tab/>
        <w:tab/>
        <w:tab/>
        <w:t>Respectfully submitted,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spacing w:lineRule="atLeast" w:line="480"/>
        <w:rPr/>
      </w:pPr>
      <w:r>
        <w:rPr/>
        <w:tab/>
        <w:tab/>
        <w:tab/>
        <w:tab/>
        <w:tab/>
        <w:tab/>
        <w:t>By 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3600" w:start="3600" w:end="0"/>
        <w:rPr/>
      </w:pPr>
      <w:r>
        <w:rPr/>
        <w:tab/>
        <w:tab/>
        <w:tab/>
        <w:tab/>
        <w:tab/>
        <w:tab/>
        <w:tab/>
        <w:tab/>
        <w:tab/>
        <w:t>Andrew B. Brown</w:t>
      </w:r>
    </w:p>
    <w:p>
      <w:pPr>
        <w:pStyle w:val="footnotetex"/>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autoSpaceDE w:val="true"/>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4320" w:start="4320" w:end="0"/>
        <w:rPr/>
      </w:pPr>
      <w:r>
        <w:rPr>
          <w:i/>
          <w:iCs/>
        </w:rPr>
        <w:t>Electronic Filing</w:t>
      </w:r>
      <w:r>
        <w:rPr/>
        <w:tab/>
        <w:tab/>
        <w:tab/>
        <w:tab/>
        <w:t>ELLISON, SCHNEIDER &amp; HARRIS, LLP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2015 H Street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Sacramento, CA  95814-3109</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Telephone:  (916) 447-2166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4320" w:start="4320" w:end="0"/>
        <w:rPr/>
      </w:pPr>
      <w:r>
        <w:rPr/>
        <w:tab/>
        <w:tab/>
        <w:tab/>
        <w:tab/>
        <w:tab/>
        <w:tab/>
        <w:t>Email: abb@eslawfirm.com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t>Attorneys for the Independent Energy Producers Association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r>
    </w:p>
    <w:p>
      <w:pPr>
        <w:pStyle w:val="Normal"/>
        <w:pBdr>
          <w:bottom w:val="dotted" w:sz="24" w:space="1" w:color="000000"/>
        </w:pBd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r>
    </w:p>
    <w:p>
      <w:pPr>
        <w:pStyle w:val="Normal"/>
        <w:jc w:val="center"/>
        <w:rPr>
          <w:b/>
        </w:rPr>
      </w:pPr>
      <w:r>
        <w:rPr>
          <w:b/>
        </w:rPr>
        <w:t>CERTIFICATE OF SERVICE</w:t>
      </w:r>
    </w:p>
    <w:p>
      <w:pPr>
        <w:pStyle w:val="Normal"/>
        <w:jc w:val="center"/>
        <w:rPr>
          <w:b/>
        </w:rPr>
      </w:pPr>
      <w:r>
        <w:rPr>
          <w:b/>
        </w:rPr>
      </w:r>
    </w:p>
    <w:p>
      <w:pPr>
        <w:pStyle w:val="Normal"/>
        <w:spacing w:lineRule="auto" w:line="360"/>
        <w:rPr/>
      </w:pPr>
      <w:r>
        <w:rPr/>
        <w:tab/>
        <w:t>I hereby certify that I have this day served the foregoing document upon each party designated on the official service list Compiled by the Secretary in this proceeding.</w:t>
      </w:r>
    </w:p>
    <w:p>
      <w:pPr>
        <w:pStyle w:val="Normal"/>
        <w:spacing w:lineRule="auto" w:line="360"/>
        <w:rPr/>
      </w:pPr>
      <w:r>
        <w:rPr/>
        <w:tab/>
        <w:t>Dated at Sacramento, California, this 22nd day of November, 2000.</w:t>
      </w:r>
    </w:p>
    <w:p>
      <w:pPr>
        <w:pStyle w:val="Normal"/>
        <w:spacing w:lineRule="auto" w:line="360"/>
        <w:rPr/>
      </w:pPr>
      <w:r>
        <w:rPr/>
      </w:r>
    </w:p>
    <w:p>
      <w:pPr>
        <w:pStyle w:val="footnotetex"/>
        <w:spacing w:lineRule="auto" w:line="360"/>
        <w:rPr>
          <w:rFonts w:ascii="Times New Roman" w:hAnsi="Times New Roman" w:cs="Times New Roman"/>
        </w:rPr>
      </w:pPr>
      <w:r>
        <w:rPr>
          <w:rFonts w:cs="Times New Roman" w:ascii="Times New Roman" w:hAnsi="Times New Roman"/>
        </w:rPr>
      </w:r>
    </w:p>
    <w:p>
      <w:pPr>
        <w:pStyle w:val="Normal"/>
        <w:rPr>
          <w:u w:val="single"/>
        </w:rPr>
      </w:pPr>
      <w:r>
        <w:rPr/>
        <w:tab/>
        <w:tab/>
        <w:tab/>
        <w:tab/>
        <w:tab/>
        <w:tab/>
        <w:t>___________________________________</w:t>
      </w:r>
    </w:p>
    <w:p>
      <w:pPr>
        <w:pStyle w:val="Normal"/>
        <w:rPr/>
      </w:pPr>
      <w:r>
        <w:rPr/>
        <w:tab/>
        <w:tab/>
        <w:tab/>
        <w:tab/>
        <w:tab/>
        <w:tab/>
        <w:tab/>
        <w:tab/>
        <w:t>Ron O’Connor</w:t>
      </w:r>
    </w:p>
    <w:p>
      <w:pPr>
        <w:pStyle w:val="Normal"/>
        <w:spacing w:lineRule="auto" w:line="360"/>
        <w:rPr/>
      </w:pPr>
      <w:r>
        <w:rPr/>
      </w:r>
      <w:r>
        <w:br w:type="page"/>
      </w:r>
    </w:p>
    <w:p>
      <w:pPr>
        <w:pStyle w:val="Normal"/>
        <w:spacing w:lineRule="auto" w:line="360"/>
        <w:jc w:val="center"/>
        <w:rPr/>
      </w:pPr>
      <w:r>
        <w:rPr/>
        <w:t>[new page numbering]</w:t>
      </w:r>
    </w:p>
    <w:p>
      <w:pPr>
        <w:pStyle w:val="Normal"/>
        <w:spacing w:lineRule="auto" w:line="360"/>
        <w:jc w:val="center"/>
        <w:rPr>
          <w:b/>
          <w:bCs/>
        </w:rPr>
      </w:pPr>
      <w:r>
        <w:rPr>
          <w:b/>
          <w:bCs/>
        </w:rPr>
        <w:t>Table of Contents</w:t>
      </w:r>
    </w:p>
    <w:p>
      <w:pPr>
        <w:pStyle w:val="Normal"/>
        <w:spacing w:lineRule="auto" w:line="360"/>
        <w:rPr>
          <w:b/>
          <w:bCs/>
        </w:rPr>
      </w:pPr>
      <w:r>
        <w:rPr>
          <w:b/>
          <w:bCs/>
        </w:rPr>
      </w:r>
    </w:p>
    <w:p>
      <w:pPr>
        <w:pStyle w:val="Normal"/>
        <w:spacing w:lineRule="auto" w:line="360"/>
        <w:rPr/>
      </w:pPr>
      <w:r>
        <w:rPr/>
      </w:r>
    </w:p>
    <w:p>
      <w:pPr>
        <w:pStyle w:val="Normal"/>
        <w:spacing w:lineRule="auto" w:line="360"/>
        <w:rPr/>
      </w:pPr>
      <w:r>
        <w:rPr/>
      </w:r>
      <w:r>
        <w:br w:type="page"/>
      </w:r>
    </w:p>
    <w:p>
      <w:pPr>
        <w:pStyle w:val="Normal"/>
        <w:spacing w:lineRule="auto" w:line="360"/>
        <w:jc w:val="center"/>
        <w:rPr/>
      </w:pPr>
      <w:r>
        <w:rPr/>
        <w:t>[new page numbering]</w:t>
      </w:r>
    </w:p>
    <w:p>
      <w:pPr>
        <w:pStyle w:val="Normal"/>
        <w:spacing w:lineRule="auto" w:line="360"/>
        <w:jc w:val="center"/>
        <w:rPr>
          <w:b/>
          <w:bCs/>
        </w:rPr>
      </w:pPr>
      <w:r>
        <w:rPr>
          <w:b/>
          <w:bCs/>
        </w:rPr>
        <w:t>Executive Summary</w:t>
      </w:r>
    </w:p>
    <w:p>
      <w:pPr>
        <w:pStyle w:val="Normal"/>
        <w:spacing w:lineRule="auto" w:line="360"/>
        <w:rPr>
          <w:b/>
          <w:bCs/>
          <w:sz w:val="16"/>
        </w:rPr>
      </w:pPr>
      <w:r>
        <w:rPr>
          <w:b/>
          <w:bCs/>
          <w:sz w:val="16"/>
        </w:rPr>
      </w:r>
    </w:p>
    <w:p>
      <w:pPr>
        <w:pStyle w:val="Normal"/>
        <w:spacing w:lineRule="auto" w:line="360"/>
        <w:rPr>
          <w:sz w:val="16"/>
        </w:rPr>
      </w:pPr>
      <w:r>
        <w:rPr>
          <w:sz w:val="16"/>
        </w:rPr>
      </w:r>
    </w:p>
    <w:p>
      <w:pPr>
        <w:pStyle w:val="Normal"/>
        <w:spacing w:lineRule="auto" w:line="360"/>
        <w:rPr>
          <w:sz w:val="16"/>
        </w:rPr>
      </w:pPr>
      <w:r>
        <w:rPr>
          <w:sz w:val="16"/>
        </w:rPr>
      </w:r>
      <w:r>
        <w:br w:type="page"/>
      </w:r>
    </w:p>
    <w:p>
      <w:pPr>
        <w:pStyle w:val="Normal"/>
        <w:spacing w:lineRule="auto" w:line="360"/>
        <w:jc w:val="center"/>
        <w:rPr>
          <w:sz w:val="16"/>
        </w:rPr>
      </w:pPr>
      <w:r>
        <w:rPr>
          <w:sz w:val="16"/>
        </w:rPr>
        <w:t>[COVER PAGE / CAPTION]</w:t>
      </w:r>
    </w:p>
    <w:p>
      <w:pPr>
        <w:pStyle w:val="Normal"/>
        <w:spacing w:lineRule="auto" w:line="360"/>
        <w:rPr>
          <w:sz w:val="16"/>
        </w:rPr>
      </w:pPr>
      <w:r>
        <w:rPr>
          <w:sz w:val="16"/>
        </w:rPr>
      </w:r>
    </w:p>
    <w:p>
      <w:pPr>
        <w:pStyle w:val="Heading"/>
        <w:rPr/>
      </w:pPr>
      <w:r>
        <w:rPr/>
        <w:t>UNITED STATES OF AMERICA</w:t>
      </w:r>
    </w:p>
    <w:p>
      <w:pPr>
        <w:pStyle w:val="Normal"/>
        <w:jc w:val="center"/>
        <w:rPr>
          <w:b/>
        </w:rPr>
      </w:pPr>
      <w:r>
        <w:rPr>
          <w:b/>
        </w:rPr>
        <w:t>BEFORE THE</w:t>
      </w:r>
    </w:p>
    <w:p>
      <w:pPr>
        <w:pStyle w:val="Heading3"/>
        <w:rPr/>
      </w:pPr>
      <w:r>
        <w:rPr/>
        <w:t>FEDERAL ENERGY REGULATORY COMMISSION</w:t>
      </w:r>
    </w:p>
    <w:p>
      <w:pPr>
        <w:pStyle w:val="Normal"/>
        <w:tabs>
          <w:tab w:val="left" w:pos="720" w:leader="none"/>
        </w:tabs>
        <w:autoSpaceDE w:val="false"/>
        <w:ind w:start="1080" w:end="0"/>
        <w:rPr/>
      </w:pPr>
      <w:r>
        <w:rPr/>
      </w:r>
    </w:p>
    <w:p>
      <w:pPr>
        <w:pStyle w:val="Normal"/>
        <w:rPr/>
      </w:pPr>
      <w:r>
        <w:rPr/>
        <w:t>San Diego Gas &amp; Electric Company</w:t>
        <w:tab/>
        <w:tab/>
        <w:t>)</w:t>
        <w:tab/>
        <w:t>Docket No. EL00-95-000</w:t>
      </w:r>
    </w:p>
    <w:p>
      <w:pPr>
        <w:pStyle w:val="Normal"/>
        <w:ind w:start="1440" w:end="0"/>
        <w:rPr/>
      </w:pPr>
      <w:r>
        <w:rPr/>
        <w:t>vs.</w:t>
        <w:tab/>
        <w:tab/>
        <w:tab/>
        <w:tab/>
        <w:t>)</w:t>
        <w:tab/>
        <w:tab/>
        <w:t>(Consolidated)</w:t>
      </w:r>
    </w:p>
    <w:p>
      <w:pPr>
        <w:pStyle w:val="Normal"/>
        <w:rPr/>
      </w:pPr>
      <w:r>
        <w:rPr/>
        <w:t>All Jurisdictional Sellers of Energy</w:t>
        <w:tab/>
        <w:tab/>
        <w:t>)</w:t>
      </w:r>
    </w:p>
    <w:p>
      <w:pPr>
        <w:pStyle w:val="Normal"/>
        <w:rPr/>
      </w:pPr>
      <w:r>
        <w:rPr/>
        <w:t xml:space="preserve">and Ancillary Services Into the Energy </w:t>
        <w:tab/>
        <w:t>)</w:t>
      </w:r>
    </w:p>
    <w:p>
      <w:pPr>
        <w:pStyle w:val="Normal"/>
        <w:rPr/>
      </w:pPr>
      <w:r>
        <w:rPr/>
        <w:t xml:space="preserve">and Ancillary Services Markets Operated </w:t>
        <w:tab/>
        <w:t>)</w:t>
      </w:r>
    </w:p>
    <w:p>
      <w:pPr>
        <w:pStyle w:val="Normal"/>
        <w:rPr/>
      </w:pPr>
      <w:r>
        <w:rPr/>
        <w:t>by the California Independent System</w:t>
        <w:tab/>
        <w:t>)</w:t>
      </w:r>
    </w:p>
    <w:p>
      <w:pPr>
        <w:pStyle w:val="Normal"/>
        <w:rPr/>
      </w:pPr>
      <w:r>
        <w:rPr/>
        <w:t xml:space="preserve">Operator Corporation and the California </w:t>
        <w:tab/>
        <w:t>)</w:t>
      </w:r>
    </w:p>
    <w:p>
      <w:pPr>
        <w:pStyle w:val="Normal"/>
        <w:rPr/>
      </w:pPr>
      <w:r>
        <w:rPr/>
        <w:t>Power Exchange;</w:t>
        <w:tab/>
        <w:tab/>
        <w:tab/>
        <w:tab/>
        <w:t>)</w:t>
      </w:r>
    </w:p>
    <w:p>
      <w:pPr>
        <w:pStyle w:val="Normal"/>
        <w:rPr/>
      </w:pPr>
      <w:r>
        <w:rPr/>
        <w:tab/>
        <w:tab/>
        <w:tab/>
        <w:tab/>
        <w:tab/>
        <w:tab/>
        <w:t>)</w:t>
      </w:r>
    </w:p>
    <w:p>
      <w:pPr>
        <w:pStyle w:val="Normal"/>
        <w:rPr/>
      </w:pPr>
      <w:r>
        <w:rPr/>
        <w:t>Investigation of Practices of the California</w:t>
        <w:tab/>
        <w:t>)</w:t>
      </w:r>
    </w:p>
    <w:p>
      <w:pPr>
        <w:pStyle w:val="Normal"/>
        <w:rPr/>
      </w:pPr>
      <w:r>
        <w:rPr/>
        <w:t xml:space="preserve">Independent System Operator and the </w:t>
        <w:tab/>
        <w:t>)</w:t>
        <w:tab/>
        <w:t>Docket No. EL00-98-000</w:t>
      </w:r>
    </w:p>
    <w:p>
      <w:pPr>
        <w:pStyle w:val="Normal"/>
        <w:rPr/>
      </w:pPr>
      <w:r>
        <w:rPr/>
        <w:t>California Power Exchange;</w:t>
        <w:tab/>
        <w:tab/>
        <w:tab/>
        <w:t>)</w:t>
        <w:tab/>
        <w:tab/>
        <w:t>(Consolidated)</w:t>
      </w:r>
    </w:p>
    <w:p>
      <w:pPr>
        <w:pStyle w:val="Normal"/>
        <w:rPr/>
      </w:pPr>
      <w:r>
        <w:rPr/>
        <w:tab/>
        <w:tab/>
        <w:tab/>
        <w:tab/>
        <w:tab/>
        <w:tab/>
        <w:t>)</w:t>
      </w:r>
    </w:p>
    <w:p>
      <w:pPr>
        <w:pStyle w:val="Normal"/>
        <w:rPr/>
      </w:pPr>
      <w:r>
        <w:rPr/>
        <w:t>Public Meeting in San Diego, California</w:t>
        <w:tab/>
        <w:t>)</w:t>
        <w:tab/>
        <w:t>Docket No. EL00-107-000</w:t>
      </w:r>
    </w:p>
    <w:p>
      <w:pPr>
        <w:pStyle w:val="Normal"/>
        <w:rPr/>
      </w:pPr>
      <w:r>
        <w:rPr/>
        <w:tab/>
        <w:tab/>
        <w:tab/>
        <w:tab/>
        <w:tab/>
        <w:tab/>
        <w:t>)</w:t>
        <w:tab/>
        <w:tab/>
        <w:t>(Not Consolidated)</w:t>
      </w:r>
    </w:p>
    <w:p>
      <w:pPr>
        <w:pStyle w:val="Normal"/>
        <w:rPr/>
      </w:pPr>
      <w:r>
        <w:rPr/>
        <w:tab/>
        <w:tab/>
        <w:tab/>
        <w:tab/>
        <w:tab/>
        <w:tab/>
        <w:t>)</w:t>
      </w:r>
    </w:p>
    <w:p>
      <w:pPr>
        <w:pStyle w:val="Normal"/>
        <w:rPr/>
      </w:pPr>
      <w:r>
        <w:rPr/>
        <w:t>California Power Exchange Corporation</w:t>
        <w:tab/>
        <w:t>)</w:t>
        <w:tab/>
        <w:t>Docket No. ER00-3461- 000</w:t>
      </w:r>
    </w:p>
    <w:p>
      <w:pPr>
        <w:pStyle w:val="Normal"/>
        <w:rPr/>
      </w:pPr>
      <w:r>
        <w:rPr/>
        <w:tab/>
        <w:tab/>
        <w:tab/>
        <w:tab/>
        <w:tab/>
        <w:tab/>
        <w:t>)</w:t>
        <w:tab/>
        <w:tab/>
        <w:t>(Not Consolidated)</w:t>
      </w:r>
    </w:p>
    <w:p>
      <w:pPr>
        <w:pStyle w:val="Normal"/>
        <w:rPr/>
      </w:pPr>
      <w:r>
        <w:rPr/>
        <w:tab/>
        <w:tab/>
        <w:tab/>
        <w:tab/>
        <w:tab/>
        <w:tab/>
        <w:t>)</w:t>
      </w:r>
    </w:p>
    <w:p>
      <w:pPr>
        <w:pStyle w:val="Normal"/>
        <w:rPr/>
      </w:pPr>
      <w:r>
        <w:rPr/>
        <w:t>California Independent System Operator</w:t>
        <w:tab/>
        <w:t>)</w:t>
        <w:tab/>
        <w:t>Docket No. ER00-3673-000</w:t>
      </w:r>
    </w:p>
    <w:p>
      <w:pPr>
        <w:pStyle w:val="Normal"/>
        <w:rPr/>
      </w:pPr>
      <w:r>
        <w:rPr/>
        <w:t>Corporation</w:t>
        <w:tab/>
        <w:tab/>
        <w:tab/>
        <w:tab/>
        <w:tab/>
        <w:t>)</w:t>
        <w:tab/>
        <w:tab/>
        <w:t>(Not Consolidated)</w:t>
      </w:r>
    </w:p>
    <w:p>
      <w:pPr>
        <w:pStyle w:val="Normal"/>
        <w:rPr/>
      </w:pPr>
      <w:r>
        <w:rPr/>
      </w:r>
    </w:p>
    <w:p>
      <w:pPr>
        <w:pStyle w:val="Normal"/>
        <w:jc w:val="center"/>
        <w:rPr>
          <w:b/>
        </w:rPr>
      </w:pPr>
      <w:r>
        <w:rPr>
          <w:b/>
        </w:rPr>
      </w:r>
    </w:p>
    <w:p>
      <w:pPr>
        <w:pStyle w:val="Normal"/>
        <w:jc w:val="center"/>
        <w:rPr>
          <w:b/>
        </w:rPr>
      </w:pPr>
      <w:r>
        <w:rPr>
          <w:b/>
        </w:rPr>
        <w:t>Comments</w:t>
      </w:r>
    </w:p>
    <w:p>
      <w:pPr>
        <w:pStyle w:val="Normal"/>
        <w:jc w:val="center"/>
        <w:rPr>
          <w:b/>
        </w:rPr>
      </w:pPr>
      <w:r>
        <w:rPr>
          <w:b/>
        </w:rPr>
        <w:t>of the Independent Energy Producers Association</w:t>
      </w:r>
    </w:p>
    <w:p>
      <w:pPr>
        <w:pStyle w:val="Normal"/>
        <w:jc w:val="center"/>
        <w:rPr>
          <w:b/>
        </w:rPr>
      </w:pPr>
      <w:r>
        <w:rPr>
          <w:b/>
        </w:rPr>
        <w:t>In Response to Commission’s November Order</w:t>
      </w:r>
    </w:p>
    <w:p>
      <w:pPr>
        <w:pStyle w:val="Normal"/>
        <w:spacing w:lineRule="auto" w:line="360"/>
        <w:rPr>
          <w:b/>
          <w:sz w:val="16"/>
        </w:rPr>
      </w:pPr>
      <w:r>
        <w:rPr>
          <w:b/>
          <w:sz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3600" w:start="3600" w:end="0"/>
        <w:rPr/>
      </w:pPr>
      <w:r>
        <w:rPr/>
        <w:t>Dated:  November 22, 2000</w:t>
        <w:tab/>
        <w:tab/>
        <w:tab/>
        <w:t>Andrew B. Brown</w:t>
      </w:r>
    </w:p>
    <w:p>
      <w:pPr>
        <w:pStyle w:val="footnotetex"/>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autoSpaceDE w:val="true"/>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4320" w:start="4320" w:end="0"/>
        <w:rPr/>
      </w:pPr>
      <w:r>
        <w:rPr>
          <w:i/>
          <w:iCs/>
        </w:rPr>
        <w:t>Electronic Filing</w:t>
      </w:r>
      <w:r>
        <w:rPr/>
        <w:tab/>
        <w:tab/>
        <w:tab/>
        <w:tab/>
        <w:t>ELLISON, SCHNEIDER &amp; HARRIS, LLP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2015 H Street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Sacramento, CA  95814-3109</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Telephone:  (916) 447-2166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4320" w:start="4320" w:end="0"/>
        <w:rPr/>
      </w:pPr>
      <w:r>
        <w:rPr/>
        <w:tab/>
        <w:tab/>
        <w:tab/>
        <w:tab/>
        <w:tab/>
        <w:tab/>
        <w:t>Email: abb@eslawfirm.com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t>Attorneys for the Independent Energy Producers Association</w:t>
      </w:r>
    </w:p>
    <w:p>
      <w:pPr>
        <w:pStyle w:val="Normal"/>
        <w:spacing w:lineRule="auto" w:line="360"/>
        <w:rPr>
          <w:sz w:val="16"/>
        </w:rPr>
      </w:pPr>
      <w:r>
        <w:rPr>
          <w:sz w:val="16"/>
        </w:rPr>
      </w:r>
    </w:p>
    <w:p>
      <w:pPr>
        <w:pStyle w:val="Normal"/>
        <w:spacing w:lineRule="auto" w:line="360"/>
        <w:rPr>
          <w:sz w:val="16"/>
        </w:rPr>
      </w:pPr>
      <w:r>
        <w:rPr>
          <w:sz w:val="16"/>
        </w:rPr>
        <w:fldChar w:fldCharType="begin"/>
      </w:r>
      <w:r>
        <w:rPr>
          <w:sz w:val="16"/>
        </w:rPr>
        <w:instrText xml:space="preserve"> FILENAME \p </w:instrText>
      </w:r>
      <w:r>
        <w:rPr>
          <w:sz w:val="16"/>
        </w:rPr>
        <w:fldChar w:fldCharType="separate"/>
      </w:r>
      <w:r>
        <w:rPr>
          <w:sz w:val="16"/>
        </w:rPr>
        <w:t>/mnt/main-storage/datasets/enron-docs/doc/001116_IEP_Comments_EL00_95_draft4.doc</w:t>
      </w:r>
      <w:r>
        <w:rPr>
          <w:sz w:val="16"/>
        </w:rPr>
        <w:fldChar w:fldCharType="end"/>
      </w:r>
    </w:p>
    <w:sectPr>
      <w:headerReference w:type="default" r:id="rId2"/>
      <w:footerReference w:type="default" r:id="rId3"/>
      <w:footnotePr>
        <w:numFmt w:val="decimal"/>
      </w:footnotePr>
      <w:type w:val="nextPage"/>
      <w:pgSz w:w="12240" w:h="15840"/>
      <w:pgMar w:left="1440" w:right="1440" w:gutter="0" w:header="720" w:top="1440" w:footer="720" w:bottom="1440"/>
      <w:pgNumType w:fmt="decimal"/>
      <w:formProt w:val="false"/>
      <w:textDirection w:val="lrTb"/>
      <w:docGrid w:type="default" w:linePitch="9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3">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cite to report, MSC, MMC, and 9/12 transcript.</w:t>
      </w:r>
    </w:p>
  </w:footnote>
  <w:footnote w:id="3">
    <w:p>
      <w:pPr>
        <w:pStyle w:val="FootnoteText"/>
        <w:rPr/>
      </w:pPr>
      <w:r>
        <w:rPr>
          <w:rStyle w:val="FootnoteCharacters"/>
        </w:rPr>
        <w:footnoteRef/>
      </w:r>
      <w:r>
        <w:rPr/>
        <w:t xml:space="preserve"> </w:t>
      </w:r>
      <w:r>
        <w:rPr/>
        <w:t xml:space="preserve">Cite CAISO testimony at Sept 12 regarding demand growth and  supply shortfall.  </w:t>
      </w:r>
    </w:p>
  </w:footnote>
  <w:footnote w:id="4">
    <w:p>
      <w:pPr>
        <w:pStyle w:val="FootnoteText"/>
        <w:rPr/>
      </w:pPr>
      <w:r>
        <w:rPr>
          <w:rStyle w:val="FootnoteCharacters"/>
        </w:rPr>
        <w:footnoteRef/>
      </w:r>
      <w:r>
        <w:rPr/>
        <w:t xml:space="preserve"> </w:t>
      </w:r>
      <w:r>
        <w:rPr/>
        <w:t xml:space="preserve">Cite to Order statement. </w:t>
      </w:r>
    </w:p>
  </w:footnote>
  <w:footnote w:id="5">
    <w:p>
      <w:pPr>
        <w:pStyle w:val="FootnoteText"/>
        <w:rPr/>
      </w:pPr>
      <w:r>
        <w:rPr>
          <w:rStyle w:val="FootnoteCharacters"/>
        </w:rPr>
        <w:footnoteRef/>
      </w:r>
      <w:r>
        <w:rPr/>
        <w:t xml:space="preserve"> </w:t>
      </w:r>
      <w:r>
        <w:rPr/>
        <w:t xml:space="preserve">Cite to CEC reports and testimony.  </w:t>
      </w:r>
    </w:p>
  </w:footnote>
  <w:footnote w:id="6">
    <w:p>
      <w:pPr>
        <w:pStyle w:val="FootnoteText"/>
        <w:rPr/>
      </w:pPr>
      <w:r>
        <w:rPr>
          <w:rStyle w:val="FootnoteCharacters"/>
        </w:rPr>
        <w:footnoteRef/>
      </w:r>
      <w:r>
        <w:rPr/>
        <w:t xml:space="preserve"> </w:t>
      </w:r>
      <w:r>
        <w:rPr/>
        <w:t>Cite to Nov 9 testimony/transcript.</w:t>
      </w:r>
    </w:p>
  </w:footnote>
  <w:footnote w:id="7">
    <w:p>
      <w:pPr>
        <w:pStyle w:val="FootnoteText"/>
        <w:rPr/>
      </w:pPr>
      <w:r>
        <w:rPr>
          <w:rStyle w:val="FootnoteCharacters"/>
        </w:rPr>
        <w:footnoteRef/>
      </w:r>
      <w:r>
        <w:rPr/>
        <w:t xml:space="preserve"> </w:t>
      </w:r>
      <w:r>
        <w:rPr/>
        <w:t>citation to Staff report re combination of factors driving prices;  CF ISO MSC report and CalPX report.</w:t>
      </w:r>
    </w:p>
  </w:footnote>
  <w:footnote w:id="8">
    <w:p>
      <w:pPr>
        <w:pStyle w:val="FootnoteText"/>
        <w:rPr/>
      </w:pPr>
      <w:r>
        <w:rPr>
          <w:rStyle w:val="FootnoteCharacters"/>
        </w:rPr>
        <w:footnoteRef/>
      </w:r>
      <w:r>
        <w:rPr/>
        <w:t xml:space="preserve"> </w:t>
      </w:r>
      <w:r>
        <w:rPr/>
        <w:t>cite re forward market to SR; MSC, Enron report, etc.</w:t>
      </w:r>
    </w:p>
  </w:footnote>
  <w:footnote w:id="9">
    <w:p>
      <w:pPr>
        <w:pStyle w:val="FootnoteText"/>
        <w:rPr/>
      </w:pPr>
      <w:r>
        <w:rPr>
          <w:rStyle w:val="FootnoteCharacters"/>
        </w:rPr>
        <w:footnoteRef/>
      </w:r>
      <w:r>
        <w:rPr/>
        <w:t xml:space="preserve"> </w:t>
      </w:r>
      <w:r>
        <w:rPr/>
        <w:t>CF PG&amp;E’s recent filing in EC96-19 …</w:t>
      </w:r>
    </w:p>
  </w:footnote>
  <w:footnote w:id="10">
    <w:p>
      <w:pPr>
        <w:pStyle w:val="FootnoteText"/>
        <w:rPr/>
      </w:pPr>
      <w:r>
        <w:rPr>
          <w:rStyle w:val="FootnoteCharacters"/>
        </w:rPr>
        <w:footnoteRef/>
      </w:r>
      <w:r>
        <w:rPr/>
        <w:t xml:space="preserve"> </w:t>
      </w:r>
      <w:r>
        <w:rPr/>
        <w:t>cites to Staff Report and other reports re retail market.  Enron whitepaper?</w:t>
      </w:r>
    </w:p>
  </w:footnote>
  <w:footnote w:id="11">
    <w:p>
      <w:pPr>
        <w:pStyle w:val="FootnoteText"/>
        <w:rPr/>
      </w:pPr>
      <w:r>
        <w:rPr>
          <w:rStyle w:val="FootnoteCharacters"/>
        </w:rPr>
        <w:footnoteRef/>
      </w:r>
      <w:r>
        <w:rPr/>
        <w:t xml:space="preserve"> </w:t>
      </w:r>
      <w:r>
        <w:rPr/>
        <w:t>cite to MSC, MMC and 9/12 testimonies.</w:t>
      </w:r>
    </w:p>
  </w:footnote>
  <w:footnote w:id="12">
    <w:p>
      <w:pPr>
        <w:pStyle w:val="FootnoteText"/>
        <w:rPr/>
      </w:pPr>
      <w:r>
        <w:rPr>
          <w:rStyle w:val="FootnoteCharacters"/>
        </w:rPr>
        <w:footnoteRef/>
      </w:r>
      <w:r>
        <w:rPr/>
        <w:t xml:space="preserve"> </w:t>
      </w:r>
      <w:r>
        <w:rPr/>
        <w:t>9/12 testimonies.</w:t>
      </w:r>
    </w:p>
  </w:footnote>
  <w:footnote w:id="13">
    <w:p>
      <w:pPr>
        <w:pStyle w:val="FootnoteText"/>
        <w:rPr/>
      </w:pPr>
      <w:r>
        <w:rPr>
          <w:rStyle w:val="FootnoteCharacters"/>
        </w:rPr>
        <w:footnoteRef/>
      </w:r>
      <w:r>
        <w:rPr/>
        <w:t xml:space="preserve"> </w:t>
      </w:r>
      <w:r>
        <w:rPr/>
        <w:t>Thermo comments on 11/9 re Huntington plant “shut in”.</w:t>
      </w:r>
    </w:p>
  </w:footnote>
  <w:footnote w:id="14">
    <w:p>
      <w:pPr>
        <w:pStyle w:val="FootnoteText"/>
        <w:rPr/>
      </w:pPr>
      <w:r>
        <w:rPr>
          <w:rStyle w:val="FootnoteCharacters"/>
        </w:rPr>
        <w:footnoteRef/>
      </w:r>
      <w:r>
        <w:rPr/>
        <w:t xml:space="preserve"> </w:t>
      </w:r>
      <w:r>
        <w:rPr/>
        <w:t>Citation to fall system emergencies on 11/15 and 11/16.</w:t>
      </w:r>
    </w:p>
  </w:footnote>
  <w:footnote w:id="15">
    <w:p>
      <w:pPr>
        <w:pStyle w:val="FootnoteText"/>
        <w:rPr/>
      </w:pPr>
      <w:r>
        <w:rPr>
          <w:rStyle w:val="FootnoteCharacters"/>
        </w:rPr>
        <w:footnoteRef/>
      </w:r>
      <w:r>
        <w:rPr/>
        <w:t xml:space="preserve"> </w:t>
      </w:r>
      <w:r>
        <w:rPr/>
        <w:t xml:space="preserve">Check September testimony, particularly TW and CEC materials.  Might want to note PG&amp;E GRC decision re distribution growth?  </w:t>
      </w:r>
    </w:p>
  </w:footnote>
  <w:footnote w:id="16">
    <w:p>
      <w:pPr>
        <w:pStyle w:val="FootnoteText"/>
        <w:rPr/>
      </w:pPr>
      <w:r>
        <w:rPr>
          <w:rStyle w:val="FootnoteCharacters"/>
        </w:rPr>
        <w:footnoteRef/>
      </w:r>
      <w:r>
        <w:rPr/>
        <w:t xml:space="preserve"> </w:t>
      </w:r>
      <w:r>
        <w:rPr/>
        <w:t>cite to BRPU and FERC order.</w:t>
      </w:r>
    </w:p>
  </w:footnote>
  <w:footnote w:id="17">
    <w:p>
      <w:pPr>
        <w:pStyle w:val="FootnoteText"/>
        <w:rPr/>
      </w:pPr>
      <w:r>
        <w:rPr>
          <w:rStyle w:val="FootnoteCharacters"/>
        </w:rPr>
        <w:footnoteRef/>
      </w:r>
      <w:r>
        <w:rPr/>
        <w:t xml:space="preserve"> </w:t>
      </w:r>
      <w:r>
        <w:rPr/>
        <w:t>cite ferc order</w:t>
      </w:r>
    </w:p>
  </w:footnote>
  <w:footnote w:id="18">
    <w:p>
      <w:pPr>
        <w:pStyle w:val="FootnoteText"/>
        <w:rPr/>
      </w:pPr>
      <w:r>
        <w:rPr>
          <w:rStyle w:val="FootnoteCharacters"/>
        </w:rPr>
        <w:footnoteRef/>
      </w:r>
      <w:r>
        <w:rPr/>
        <w:t xml:space="preserve"> </w:t>
      </w:r>
      <w:r>
        <w:rPr/>
        <w:t>cite to “no stopgap” in FR or other reports such as enron?</w:t>
      </w:r>
    </w:p>
  </w:footnote>
  <w:footnote w:id="19">
    <w:p>
      <w:pPr>
        <w:pStyle w:val="FootnoteText"/>
        <w:rPr/>
      </w:pPr>
      <w:r>
        <w:rPr>
          <w:rStyle w:val="FootnoteCharacters"/>
        </w:rPr>
        <w:footnoteRef/>
      </w:r>
      <w:r>
        <w:rPr/>
        <w:t xml:space="preserve"> </w:t>
      </w:r>
      <w:r>
        <w:rPr/>
        <w:t>Cite to Nov 9 discussoin; CEC sept 12 test.</w:t>
      </w:r>
    </w:p>
  </w:footnote>
  <w:footnote w:id="20">
    <w:p>
      <w:pPr>
        <w:pStyle w:val="FootnoteText"/>
        <w:rPr/>
      </w:pPr>
      <w:r>
        <w:rPr>
          <w:rStyle w:val="FootnoteCharacters"/>
        </w:rPr>
        <w:footnoteRef/>
      </w:r>
      <w:r>
        <w:rPr/>
        <w:t xml:space="preserve"> </w:t>
      </w:r>
      <w:r>
        <w:rPr/>
        <w:t>cite nov 9 transcript of bowen, etc.</w:t>
      </w:r>
    </w:p>
  </w:footnote>
  <w:footnote w:id="21">
    <w:p>
      <w:pPr>
        <w:pStyle w:val="FootnoteText"/>
        <w:rPr/>
      </w:pPr>
      <w:r>
        <w:rPr>
          <w:rStyle w:val="FootnoteCharacters"/>
        </w:rPr>
        <w:footnoteRef/>
      </w:r>
      <w:r>
        <w:rPr/>
        <w:t xml:space="preserve"> </w:t>
      </w:r>
      <w:r>
        <w:rPr/>
        <w:t>Cite to notion that there has been no response.  Order at XXX.  peace statement?</w:t>
      </w:r>
    </w:p>
  </w:footnote>
  <w:footnote w:id="22">
    <w:p>
      <w:pPr>
        <w:pStyle w:val="FootnoteText"/>
        <w:rPr/>
      </w:pPr>
      <w:r>
        <w:rPr>
          <w:rStyle w:val="FootnoteCharacters"/>
        </w:rPr>
        <w:footnoteRef/>
      </w:r>
      <w:r>
        <w:rPr/>
        <w:t xml:space="preserve"> </w:t>
      </w:r>
      <w:r>
        <w:rPr/>
        <w:t xml:space="preserve">IEP continues to be troubled by the inaccurate portrayal of the utilities as “victims” of AB 1890.  </w:t>
      </w:r>
      <w:r>
        <w:rPr>
          <w:i/>
          <w:iCs/>
        </w:rPr>
        <w:t xml:space="preserve">The utilities were not </w:t>
      </w:r>
      <w:r>
        <w:rPr>
          <w:i/>
          <w:iCs/>
          <w:u w:val="single"/>
        </w:rPr>
        <w:t>ordered</w:t>
      </w:r>
      <w:r>
        <w:rPr>
          <w:i/>
          <w:iCs/>
        </w:rPr>
        <w:t xml:space="preserve"> to divest resources</w:t>
      </w:r>
      <w:r>
        <w:rPr/>
        <w:t xml:space="preserve">.  Neither AB 1890 or the CPUC ordered such as result.  The utilities were provided incentives to divest those resources, </w:t>
      </w:r>
      <w:r>
        <w:rPr>
          <w:i/>
          <w:iCs/>
        </w:rPr>
        <w:t>and they voluntarily chose to sell their assets</w:t>
      </w:r>
      <w:r>
        <w:rPr/>
        <w:t>.  They exercised that choice willingly and directly profited from their decisions.  While inaccurate press accounts can be excused to some degree, FERC should not continue this inaccuracy.  Besides being wrong on its face, the perpetuation of this falsehood provides the utilities a form of “political cover” that is a disservice to the California Legislature and the current Administration.</w:t>
      </w:r>
    </w:p>
  </w:footnote>
  <w:footnote w:id="23">
    <w:p>
      <w:pPr>
        <w:pStyle w:val="FootnoteText"/>
        <w:rPr/>
      </w:pPr>
      <w:r>
        <w:rPr>
          <w:rStyle w:val="FootnoteCharacters"/>
        </w:rPr>
        <w:footnoteRef/>
      </w:r>
      <w:r>
        <w:rPr/>
        <w:t xml:space="preserve"> </w:t>
      </w:r>
      <w:r>
        <w:rPr/>
        <w:t>Legislative changes will be required to allow the utilities to purchase from exchanges other than the CalPX.</w:t>
      </w:r>
    </w:p>
  </w:footnote>
  <w:footnote w:id="24">
    <w:p>
      <w:pPr>
        <w:pStyle w:val="FootnoteText"/>
        <w:rPr/>
      </w:pPr>
      <w:r>
        <w:rPr>
          <w:rStyle w:val="FootnoteCharacters"/>
        </w:rPr>
        <w:footnoteRef/>
      </w:r>
      <w:r>
        <w:rPr/>
        <w:t xml:space="preserve"> </w:t>
      </w:r>
      <w:r>
        <w:rPr/>
        <w:t>cite fielder and hapner at Nov 9 hearing.  Cite CPUC decision?</w:t>
      </w:r>
    </w:p>
  </w:footnote>
  <w:footnote w:id="25">
    <w:p>
      <w:pPr>
        <w:pStyle w:val="FootnoteText"/>
        <w:rPr/>
      </w:pPr>
      <w:r>
        <w:rPr>
          <w:rStyle w:val="FootnoteCharacters"/>
        </w:rPr>
        <w:footnoteRef/>
      </w:r>
      <w:r>
        <w:rPr/>
        <w:t xml:space="preserve"> </w:t>
      </w:r>
      <w:r>
        <w:rPr/>
        <w:t>cite to sladoje nov 9 re forwards dry up with rule changes.</w:t>
      </w:r>
    </w:p>
  </w:footnote>
  <w:footnote w:id="26">
    <w:p>
      <w:pPr>
        <w:pStyle w:val="FootnoteText"/>
        <w:rPr/>
      </w:pPr>
      <w:r>
        <w:rPr>
          <w:rStyle w:val="FootnoteCharacters"/>
        </w:rPr>
        <w:footnoteRef/>
      </w:r>
      <w:r>
        <w:rPr/>
        <w:t xml:space="preserve"> </w:t>
      </w:r>
      <w:r>
        <w:rPr/>
        <w:t>IBID sladoje</w:t>
      </w:r>
    </w:p>
  </w:footnote>
  <w:footnote w:id="27">
    <w:p>
      <w:pPr>
        <w:pStyle w:val="FootnoteText"/>
        <w:rPr/>
      </w:pPr>
      <w:r>
        <w:rPr>
          <w:rStyle w:val="FootnoteCharacters"/>
        </w:rPr>
        <w:footnoteRef/>
      </w:r>
      <w:r>
        <w:rPr/>
        <w:t xml:space="preserve"> </w:t>
      </w:r>
      <w:r>
        <w:rPr/>
        <w:t xml:space="preserve">cite to SR re import, MSC, etc.  </w:t>
      </w:r>
    </w:p>
  </w:footnote>
  <w:footnote w:id="28">
    <w:p>
      <w:pPr>
        <w:pStyle w:val="FootnoteText"/>
        <w:rPr/>
      </w:pPr>
      <w:r>
        <w:rPr>
          <w:rStyle w:val="FootnoteCharacters"/>
        </w:rPr>
        <w:footnoteRef/>
      </w:r>
      <w:r>
        <w:rPr/>
        <w:t xml:space="preserve"> </w:t>
      </w:r>
      <w:r>
        <w:rPr/>
        <w:t>cite SR.</w:t>
      </w:r>
    </w:p>
  </w:footnote>
  <w:footnote w:id="29">
    <w:p>
      <w:pPr>
        <w:pStyle w:val="FootnoteText"/>
        <w:rPr/>
      </w:pPr>
      <w:r>
        <w:rPr>
          <w:rStyle w:val="FootnoteCharacters"/>
        </w:rPr>
        <w:footnoteRef/>
      </w:r>
      <w:r>
        <w:rPr/>
        <w:t xml:space="preserve"> </w:t>
      </w:r>
      <w:r>
        <w:rPr/>
        <w:t>PPD, 64 CPUC2d XXX, XXX.</w:t>
      </w:r>
    </w:p>
  </w:footnote>
  <w:footnote w:id="30">
    <w:p>
      <w:pPr>
        <w:pStyle w:val="FootnoteText"/>
        <w:rPr/>
      </w:pPr>
      <w:r>
        <w:rPr>
          <w:rStyle w:val="FootnoteCharacters"/>
        </w:rPr>
        <w:footnoteRef/>
      </w:r>
      <w:r>
        <w:rPr/>
        <w:t xml:space="preserve"> </w:t>
      </w:r>
      <w:r>
        <w:rPr/>
        <w:t>The total retail rate was frozen, but rate elements within that total—such as distribution and transmission elements—have changed during the interim.  The net effect of such changes, such as PG&amp;E’s $XXX rate increase, is the “squeeze” of the fraction of rates attributed to commodity costs.  Hence, some of the current utility commodity cost undercollection is the product of the reduction of fraction of retail rates dedicated to those types of generation costs.</w:t>
      </w:r>
    </w:p>
  </w:footnote>
  <w:footnote w:id="31">
    <w:p>
      <w:pPr>
        <w:pStyle w:val="FootnoteText"/>
        <w:rPr/>
      </w:pPr>
      <w:r>
        <w:rPr>
          <w:rStyle w:val="FootnoteCharacters"/>
        </w:rPr>
        <w:footnoteRef/>
      </w:r>
      <w:r>
        <w:rPr/>
        <w:t xml:space="preserve"> </w:t>
      </w:r>
      <w:r>
        <w:rPr/>
        <w:t xml:space="preserve">This blended retail rate reflects utility purchasing decisions and the proportion of supply secured from the CalPX forward markets (including the Day-Ahead and Day-Of markets), was well as the proportion of supply purchased in the CAISO’s imbalance market and the costs of ancillary services associated with the deliveries.  Because accounting for imbalance energy and ancillary Services requires customer meter data, costs for those portions of the commodity are reflected in retail customers’ bills approximately 3 months after the delivery month.   See, e.g., “Schedule PX” http://www.sce.com/billingsca/rates/tariff/pdf/ce146-12.pdf (for Edison) and http://www.pge.com/customer_services/business/tariffs/pdf/PX.pdf (for PG&amp;E).  Customers who secure supply from competitive providers are currently credited this portion of the frozen retail rate.  </w:t>
      </w:r>
    </w:p>
  </w:footnote>
  <w:footnote w:id="32">
    <w:p>
      <w:pPr>
        <w:pStyle w:val="FootnoteText"/>
        <w:rPr/>
      </w:pPr>
      <w:r>
        <w:rPr>
          <w:rStyle w:val="FootnoteCharacters"/>
        </w:rPr>
        <w:footnoteRef/>
      </w:r>
      <w:r>
        <w:rPr/>
        <w:t xml:space="preserve"> </w:t>
      </w:r>
      <w:r>
        <w:rPr/>
        <w:t>cite enron whitepaper?</w:t>
      </w:r>
    </w:p>
  </w:footnote>
  <w:footnote w:id="33">
    <w:p>
      <w:pPr>
        <w:pStyle w:val="FootnoteText"/>
        <w:rPr/>
      </w:pPr>
      <w:r>
        <w:rPr>
          <w:rStyle w:val="FootnoteCharacters"/>
        </w:rPr>
        <w:footnoteRef/>
      </w:r>
      <w:r>
        <w:rPr/>
        <w:t xml:space="preserve"> </w:t>
      </w:r>
      <w:r>
        <w:rPr/>
        <w:t>FR, ISO, PX, Enron whitepaper?</w:t>
      </w:r>
    </w:p>
  </w:footnote>
  <w:footnote w:id="34">
    <w:p>
      <w:pPr>
        <w:pStyle w:val="FootnoteText"/>
        <w:rPr/>
      </w:pPr>
      <w:r>
        <w:rPr>
          <w:rStyle w:val="FootnoteCharacters"/>
        </w:rPr>
        <w:footnoteRef/>
      </w:r>
      <w:r>
        <w:rPr/>
        <w:t xml:space="preserve"> </w:t>
      </w:r>
      <w:r>
        <w:rPr/>
        <w:t>PG&amp;E CPUC decision re load growth as citation?</w:t>
      </w:r>
    </w:p>
  </w:footnote>
  <w:footnote w:id="35">
    <w:p>
      <w:pPr>
        <w:pStyle w:val="FootnoteText"/>
        <w:rPr/>
      </w:pPr>
      <w:r>
        <w:rPr>
          <w:rStyle w:val="FootnoteCharacters"/>
        </w:rPr>
        <w:footnoteRef/>
      </w:r>
      <w:r>
        <w:rPr/>
        <w:t xml:space="preserve"> </w:t>
      </w:r>
      <w:r>
        <w:rPr/>
        <w:t>All utilities face the potential for underrecoveries today.  Although SDG&amp;E completed its rate freeze, a capped retail rate was legislatively imposed.  The current rate design will not allow the utility to recoup supply costs that exceed the capped rate during any lower cost periods.</w:t>
      </w:r>
    </w:p>
  </w:footnote>
  <w:footnote w:id="36">
    <w:p>
      <w:pPr>
        <w:pStyle w:val="FootnoteText"/>
        <w:rPr/>
      </w:pPr>
      <w:r>
        <w:rPr>
          <w:rStyle w:val="FootnoteCharacters"/>
        </w:rPr>
        <w:footnoteRef/>
      </w:r>
      <w:r>
        <w:rPr/>
        <w:t xml:space="preserve"> </w:t>
      </w:r>
      <w:r>
        <w:rPr/>
        <w:t>Cite to SDG&amp;E PTR decision</w:t>
      </w:r>
    </w:p>
  </w:footnote>
  <w:footnote w:id="37">
    <w:p>
      <w:pPr>
        <w:pStyle w:val="FootnoteText"/>
        <w:rPr/>
      </w:pPr>
      <w:r>
        <w:rPr>
          <w:rStyle w:val="FootnoteCharacters"/>
        </w:rPr>
        <w:footnoteRef/>
      </w:r>
      <w:r>
        <w:rPr/>
        <w:t xml:space="preserve"> </w:t>
      </w:r>
      <w:r>
        <w:rPr/>
        <w:t xml:space="preserve">Check MSC; fielder and hapner Nov 9 re CPUC disallowance, etc.  Address SDG&amp;E disinformation regarding their commodity PBR proposal?  </w:t>
      </w:r>
    </w:p>
  </w:footnote>
  <w:footnote w:id="38">
    <w:p>
      <w:pPr>
        <w:pStyle w:val="FootnoteText"/>
        <w:rPr/>
      </w:pPr>
      <w:r>
        <w:rPr>
          <w:rStyle w:val="FootnoteCharacters"/>
        </w:rPr>
        <w:footnoteRef/>
      </w:r>
      <w:r>
        <w:rPr/>
        <w:t xml:space="preserve"> </w:t>
      </w:r>
      <w:r>
        <w:rPr/>
        <w:t>Sempra at Sept 12 hearing?</w:t>
      </w:r>
    </w:p>
  </w:footnote>
  <w:footnote w:id="39">
    <w:p>
      <w:pPr>
        <w:pStyle w:val="FootnoteText"/>
        <w:rPr/>
      </w:pPr>
      <w:r>
        <w:rPr>
          <w:rStyle w:val="FootnoteCharacters"/>
        </w:rPr>
        <w:footnoteRef/>
      </w:r>
      <w:r>
        <w:rPr/>
        <w:t xml:space="preserve"> </w:t>
      </w:r>
      <w:r>
        <w:rPr/>
        <w:t>IEP focuses here on the CAISO board because it has been at the center of most discussions regarding the need for independence.  IEP recognizes that the same problems have not come about at the CalPX, and IEP offers no opinion regarding the need or value of disrupting the current board structure at the CalPX.</w:t>
      </w:r>
    </w:p>
  </w:footnote>
  <w:footnote w:id="40">
    <w:p>
      <w:pPr>
        <w:pStyle w:val="FootnoteText"/>
        <w:rPr/>
      </w:pPr>
      <w:r>
        <w:rPr>
          <w:rStyle w:val="FootnoteCharacters"/>
        </w:rPr>
        <w:footnoteRef/>
      </w:r>
      <w:r>
        <w:rPr/>
        <w:t xml:space="preserve"> </w:t>
      </w:r>
      <w:r>
        <w:rPr/>
        <w:t>Cite Nov 9 transcript: JSJ, Florio, Winter, Fielder, McCrea, Hapner, Sempra, etc.</w:t>
      </w:r>
    </w:p>
  </w:footnote>
  <w:footnote w:id="41">
    <w:p>
      <w:pPr>
        <w:pStyle w:val="FootnoteText"/>
        <w:rPr/>
      </w:pPr>
      <w:r>
        <w:rPr>
          <w:rStyle w:val="FootnoteCharacters"/>
        </w:rPr>
        <w:footnoteRef/>
      </w:r>
      <w:r>
        <w:rPr/>
        <w:t xml:space="preserve"> </w:t>
      </w:r>
      <w:r>
        <w:rPr/>
        <w:t>Cite November Order re two year transition period.</w:t>
      </w:r>
    </w:p>
  </w:footnote>
  <w:footnote w:id="42">
    <w:p>
      <w:pPr>
        <w:pStyle w:val="FootnoteText"/>
        <w:rPr/>
      </w:pPr>
      <w:r>
        <w:rPr>
          <w:rStyle w:val="FootnoteCharacters"/>
        </w:rPr>
        <w:footnoteRef/>
      </w:r>
      <w:r>
        <w:rPr/>
        <w:t xml:space="preserve"> </w:t>
      </w:r>
      <w:r>
        <w:rPr/>
        <w:t>citation re no abuse of market power, etc., from FR, MSC, MMC</w:t>
      </w:r>
    </w:p>
  </w:footnote>
  <w:footnote w:id="43">
    <w:p>
      <w:pPr>
        <w:pStyle w:val="FootnoteText"/>
        <w:rPr/>
      </w:pPr>
      <w:r>
        <w:rPr>
          <w:rStyle w:val="FootnoteCharacters"/>
        </w:rPr>
        <w:footnoteRef/>
      </w:r>
      <w:r>
        <w:rPr/>
        <w:t xml:space="preserve"> </w:t>
      </w:r>
      <w:r>
        <w:rPr/>
        <w:t>citations to others citing this standard</w:t>
      </w:r>
    </w:p>
  </w:footnote>
  <w:footnote w:id="44">
    <w:p>
      <w:pPr>
        <w:pStyle w:val="FootnoteText"/>
        <w:rPr/>
      </w:pPr>
      <w:r>
        <w:rPr>
          <w:rStyle w:val="FootnoteCharacters"/>
        </w:rPr>
        <w:footnoteRef/>
      </w:r>
      <w:r>
        <w:rPr/>
        <w:t xml:space="preserve"> </w:t>
      </w:r>
      <w:r>
        <w:rPr/>
        <w:t xml:space="preserve">citations?  We could rate the Wolck language as well as the FERC report.  </w:t>
      </w:r>
    </w:p>
  </w:footnote>
  <w:footnote w:id="45">
    <w:p>
      <w:pPr>
        <w:pStyle w:val="FootnoteText"/>
        <w:rPr/>
      </w:pPr>
      <w:r>
        <w:rPr>
          <w:rStyle w:val="FootnoteCharacters"/>
        </w:rPr>
        <w:footnoteRef/>
      </w:r>
      <w:r>
        <w:rPr/>
        <w:t xml:space="preserve"> </w:t>
      </w:r>
      <w:r>
        <w:rPr/>
        <w:t>enron white paper?  CPUC PPD.</w:t>
      </w:r>
    </w:p>
  </w:footnote>
  <w:footnote w:id="46">
    <w:p>
      <w:pPr>
        <w:pStyle w:val="FootnoteText"/>
        <w:rPr/>
      </w:pPr>
      <w:r>
        <w:rPr>
          <w:rStyle w:val="FootnoteCharacters"/>
        </w:rPr>
        <w:footnoteRef/>
      </w:r>
      <w:r>
        <w:rPr/>
        <w:t xml:space="preserve"> </w:t>
      </w:r>
      <w:r>
        <w:rPr/>
        <w:t xml:space="preserve">Citation; Also MSC, </w:t>
      </w:r>
    </w:p>
  </w:footnote>
  <w:footnote w:id="47">
    <w:p>
      <w:pPr>
        <w:pStyle w:val="FootnoteText"/>
        <w:rPr/>
      </w:pPr>
      <w:r>
        <w:rPr>
          <w:rStyle w:val="FootnoteCharacters"/>
        </w:rPr>
        <w:footnoteRef/>
      </w:r>
      <w:r>
        <w:rPr/>
        <w:t xml:space="preserve"> </w:t>
      </w:r>
      <w:r>
        <w:rPr/>
        <w:t xml:space="preserve">Cites to Nov 9 transcript; enron, stout, </w:t>
      </w:r>
    </w:p>
  </w:footnote>
  <w:footnote w:id="48">
    <w:p>
      <w:pPr>
        <w:pStyle w:val="FootnoteText"/>
        <w:rPr/>
      </w:pPr>
      <w:r>
        <w:rPr>
          <w:rStyle w:val="FootnoteCharacters"/>
        </w:rPr>
        <w:footnoteRef/>
      </w:r>
      <w:r>
        <w:rPr/>
        <w:t xml:space="preserve"> </w:t>
      </w:r>
      <w:r>
        <w:rPr/>
        <w:t>Notwithstanding the apparent opinion of SMUD otherwise (TR at XXX), there are demands which materialize only for a fraction of a percentage of the total hours of a year, and therefore some resources will only be dispatched a short number of hours to meet that need.  These resources tend to be fast ramping, less efficient units that are not designed or intended to operate as “baseload” facilities.  Hence the suggestion that they “just operate more” to recover their costs is misplaced.</w:t>
      </w:r>
    </w:p>
  </w:footnote>
  <w:footnote w:id="49">
    <w:p>
      <w:pPr>
        <w:pStyle w:val="FootnoteText"/>
        <w:rPr/>
      </w:pPr>
      <w:r>
        <w:rPr>
          <w:rStyle w:val="FootnoteCharacters"/>
        </w:rPr>
        <w:footnoteRef/>
      </w:r>
      <w:r>
        <w:rPr/>
        <w:t xml:space="preserve"> </w:t>
      </w:r>
      <w:r>
        <w:rPr/>
        <w:t>cite TR Nov 9 Enron.</w:t>
      </w:r>
    </w:p>
  </w:footnote>
  <w:footnote w:id="50">
    <w:p>
      <w:pPr>
        <w:pStyle w:val="FootnoteText"/>
        <w:rPr/>
      </w:pPr>
      <w:r>
        <w:rPr>
          <w:rStyle w:val="FootnoteCharacters"/>
        </w:rPr>
        <w:footnoteRef/>
      </w:r>
      <w:r>
        <w:rPr/>
        <w:t xml:space="preserve"> </w:t>
      </w:r>
      <w:r>
        <w:rPr/>
        <w:t xml:space="preserve">Cite Nov 9 TW testimony.  </w:t>
      </w:r>
    </w:p>
  </w:footnote>
  <w:footnote w:id="51">
    <w:p>
      <w:pPr>
        <w:pStyle w:val="FootnoteText"/>
        <w:rPr/>
      </w:pPr>
      <w:r>
        <w:rPr>
          <w:rStyle w:val="FootnoteCharacters"/>
        </w:rPr>
        <w:footnoteRef/>
      </w:r>
      <w:r>
        <w:rPr/>
        <w:t xml:space="preserve"> </w:t>
      </w:r>
      <w:r>
        <w:rPr/>
        <w:t>citation to Dynegy, reliant, etc.</w:t>
      </w:r>
    </w:p>
  </w:footnote>
  <w:footnote w:id="52">
    <w:p>
      <w:pPr>
        <w:pStyle w:val="FootnoteText"/>
        <w:rPr/>
      </w:pPr>
      <w:r>
        <w:rPr>
          <w:rStyle w:val="FootnoteCharacters"/>
        </w:rPr>
        <w:footnoteRef/>
      </w:r>
      <w:r>
        <w:rPr/>
        <w:t xml:space="preserve"> </w:t>
      </w:r>
      <w:r>
        <w:rPr/>
        <w:t xml:space="preserve">cite the wave of letters and EPSA “cease and desist” request.  </w:t>
      </w:r>
    </w:p>
  </w:footnote>
  <w:footnote w:id="53">
    <w:p>
      <w:pPr>
        <w:pStyle w:val="FootnoteText"/>
        <w:rPr/>
      </w:pPr>
      <w:r>
        <w:rPr>
          <w:rStyle w:val="FootnoteCharacters"/>
        </w:rPr>
        <w:footnoteRef/>
      </w:r>
      <w:r>
        <w:rPr/>
        <w:t xml:space="preserve"> </w:t>
      </w:r>
      <w:r>
        <w:rPr/>
        <w:t>Florio on Nov 9.</w:t>
      </w:r>
    </w:p>
  </w:footnote>
  <w:footnote w:id="54">
    <w:p>
      <w:pPr>
        <w:pStyle w:val="FootnoteText"/>
        <w:rPr/>
      </w:pPr>
      <w:r>
        <w:rPr>
          <w:rStyle w:val="FootnoteCharacters"/>
        </w:rPr>
        <w:footnoteRef/>
      </w:r>
      <w:r>
        <w:rPr/>
        <w:t xml:space="preserve"> </w:t>
      </w:r>
      <w:r>
        <w:rPr/>
        <w:t>Florio &amp; Fielder at Nov. 9.</w:t>
      </w:r>
    </w:p>
  </w:footnote>
  <w:footnote w:id="55">
    <w:p>
      <w:pPr>
        <w:pStyle w:val="FootnoteText"/>
        <w:rPr/>
      </w:pPr>
      <w:r>
        <w:rPr>
          <w:rStyle w:val="FootnoteCharacters"/>
        </w:rPr>
        <w:footnoteRef/>
      </w:r>
      <w:r>
        <w:rPr/>
        <w:t xml:space="preserve"> </w:t>
      </w:r>
      <w:r>
        <w:rPr/>
        <w:t>Ackerman at Nov. 9; Enron whitepaper; MSC.</w:t>
      </w:r>
    </w:p>
  </w:footnote>
  <w:footnote w:id="56">
    <w:p>
      <w:pPr>
        <w:pStyle w:val="FootnoteText"/>
        <w:rPr/>
      </w:pPr>
      <w:r>
        <w:rPr>
          <w:rStyle w:val="FootnoteCharacters"/>
        </w:rPr>
        <w:footnoteRef/>
      </w:r>
      <w:r>
        <w:rPr/>
        <w:t xml:space="preserve"> </w:t>
      </w:r>
      <w:r>
        <w:rPr/>
        <w:t>Cite to how AB 970 didn’t yield anything.</w:t>
      </w:r>
    </w:p>
  </w:footnote>
  <w:footnote w:id="57">
    <w:p>
      <w:pPr>
        <w:pStyle w:val="FootnoteText"/>
        <w:rPr/>
      </w:pPr>
      <w:r>
        <w:rPr>
          <w:rStyle w:val="FootnoteCharacters"/>
        </w:rPr>
        <w:footnoteRef/>
      </w:r>
      <w:r>
        <w:rPr/>
        <w:t xml:space="preserve"> </w:t>
      </w:r>
      <w:r>
        <w:rPr/>
        <w:t>Cite JSJ.  Other cites re pending deals?  Press releases?</w:t>
      </w:r>
    </w:p>
  </w:footnote>
  <w:footnote w:id="58">
    <w:p>
      <w:pPr>
        <w:pStyle w:val="FootnoteText"/>
        <w:rPr/>
      </w:pPr>
      <w:r>
        <w:rPr>
          <w:rStyle w:val="FootnoteCharacters"/>
        </w:rPr>
        <w:footnoteRef/>
      </w:r>
      <w:r>
        <w:rPr/>
        <w:t xml:space="preserve"> </w:t>
      </w:r>
      <w:r>
        <w:rPr/>
        <w:t>Florio / Fielder</w:t>
      </w:r>
    </w:p>
  </w:footnote>
  <w:footnote w:id="59">
    <w:p>
      <w:pPr>
        <w:pStyle w:val="FootnoteText"/>
        <w:rPr/>
      </w:pPr>
      <w:r>
        <w:rPr>
          <w:rStyle w:val="FootnoteCharacters"/>
        </w:rPr>
        <w:footnoteRef/>
      </w:r>
      <w:r>
        <w:rPr/>
        <w:t xml:space="preserve"> </w:t>
      </w:r>
      <w:r>
        <w:rPr/>
        <w:t>cite enron white paper; MSC.</w:t>
      </w:r>
    </w:p>
  </w:footnote>
  <w:footnote w:id="60">
    <w:p>
      <w:pPr>
        <w:pStyle w:val="FootnoteText"/>
        <w:rPr/>
      </w:pPr>
      <w:r>
        <w:rPr>
          <w:rStyle w:val="FootnoteCharacters"/>
        </w:rPr>
        <w:footnoteRef/>
      </w:r>
      <w:r>
        <w:rPr/>
        <w:t xml:space="preserve"> </w:t>
      </w:r>
      <w:r>
        <w:rPr/>
        <w:t xml:space="preserve">Cite CPUC transmission OII.  </w:t>
      </w:r>
    </w:p>
  </w:footnote>
  <w:footnote w:id="61">
    <w:p>
      <w:pPr>
        <w:pStyle w:val="FootnoteText"/>
        <w:rPr/>
      </w:pPr>
      <w:r>
        <w:rPr>
          <w:rStyle w:val="FootnoteCharacters"/>
        </w:rPr>
        <w:footnoteRef/>
      </w:r>
      <w:r>
        <w:rPr/>
        <w:t xml:space="preserve"> </w:t>
      </w:r>
      <w:r>
        <w:rPr/>
        <w:t>cite to Nov 9 hearing</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CONFIDENTIAL ATTORNEY CLIENT COMMUNICATION</w:t>
      <w:tab/>
      <w:t>11/16/2000</w:t>
    </w:r>
  </w:p>
  <w:p>
    <w:pPr>
      <w:pStyle w:val="Header"/>
      <w:rPr/>
    </w:pPr>
    <w:r>
      <w:rPr/>
      <w:t>DRAFT</w:t>
      <w:tab/>
      <w:t>DRAFT</w:t>
      <w:tab/>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pStyle w:val="Heading1"/>
      <w:numFmt w:val="upperRoman"/>
      <w:lvlText w:val="%1."/>
      <w:lvlJc w:val="start"/>
      <w:pPr>
        <w:tabs>
          <w:tab w:val="num" w:pos="1080"/>
        </w:tabs>
        <w:ind w:start="1080" w:hanging="720"/>
      </w:pPr>
      <w:rPr>
        <w:u w:val="none"/>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5"/>
      <w:numFmt w:val="lowerRoman"/>
      <w:lvlText w:val="%1."/>
      <w:lvlJc w:val="start"/>
      <w:pPr>
        <w:tabs>
          <w:tab w:val="num" w:pos="4320"/>
        </w:tabs>
        <w:ind w:start="4320" w:hanging="2880"/>
      </w:pPr>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start w:val="2"/>
      <w:numFmt w:val="upperLetter"/>
      <w:lvlText w:val="%1."/>
      <w:lvlJc w:val="start"/>
      <w:pPr>
        <w:tabs>
          <w:tab w:val="num" w:pos="1070"/>
        </w:tabs>
        <w:ind w:start="1070" w:hanging="360"/>
      </w:pPr>
      <w:rPr>
        <w:u w:val="none"/>
      </w:rPr>
    </w:lvl>
  </w:abstractNum>
  <w:abstractNum w:abstractNumId="5">
    <w:lvl w:ilvl="0">
      <w:start w:val="2"/>
      <w:numFmt w:val="upperRoman"/>
      <w:lvlText w:val="%1."/>
      <w:lvlJc w:val="start"/>
      <w:pPr>
        <w:tabs>
          <w:tab w:val="num" w:pos="710"/>
        </w:tabs>
        <w:ind w:start="710" w:hanging="720"/>
      </w:pPr>
      <w:rPr/>
    </w:lvl>
  </w:abstractNum>
  <w:abstractNum w:abstractNumId="6">
    <w:lvl w:ilvl="0">
      <w:start w:val="6"/>
      <w:numFmt w:val="upperRoman"/>
      <w:lvlText w:val="%1."/>
      <w:lvlJc w:val="start"/>
      <w:pPr>
        <w:tabs>
          <w:tab w:val="num" w:pos="706"/>
        </w:tabs>
        <w:ind w:start="706" w:hanging="720"/>
      </w:pPr>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710" w:leader="none"/>
      </w:tabs>
      <w:spacing w:lineRule="auto" w:line="480"/>
      <w:ind w:hanging="0" w:start="710" w:end="0"/>
      <w:outlineLvl w:val="0"/>
    </w:pPr>
    <w:rPr>
      <w:b/>
      <w:bCs/>
      <w:u w:val="single"/>
    </w:rPr>
  </w:style>
  <w:style w:type="paragraph" w:styleId="Heading2">
    <w:name w:val="heading 2"/>
    <w:basedOn w:val="Normal"/>
    <w:next w:val="Normal"/>
    <w:qFormat/>
    <w:pPr>
      <w:keepNext w:val="true"/>
      <w:spacing w:lineRule="auto" w:line="480"/>
      <w:outlineLvl w:val="1"/>
    </w:pPr>
    <w:rPr>
      <w:i/>
      <w:iCs/>
      <w:u w:val="single"/>
    </w:rPr>
  </w:style>
  <w:style w:type="paragraph" w:styleId="Heading3">
    <w:name w:val="heading 3"/>
    <w:basedOn w:val="Normal"/>
    <w:next w:val="Normal"/>
    <w:qFormat/>
    <w:pPr>
      <w:keepNext w:val="true"/>
      <w:jc w:val="center"/>
      <w:outlineLvl w:val="2"/>
    </w:pPr>
    <w:rPr>
      <w:b/>
    </w:rPr>
  </w:style>
  <w:style w:type="paragraph" w:styleId="Heading4">
    <w:name w:val="heading 4"/>
    <w:basedOn w:val="Normal"/>
    <w:next w:val="Normal"/>
    <w:qFormat/>
    <w:pPr>
      <w:keepNext w:val="true"/>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styleId="WW8Num1z0">
    <w:name w:val="WW8Num1z0"/>
    <w:qFormat/>
    <w:rPr>
      <w:u w:val="none"/>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u w:val="non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szCs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480"/>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style>
  <w:style w:type="paragraph" w:styleId="footnotetex">
    <w:name w:val="footnote tex"/>
    <w:qFormat/>
    <w:pPr>
      <w:widowControl w:val="false"/>
      <w:autoSpaceDE w:val="false"/>
      <w:bidi w:val="0"/>
    </w:pPr>
    <w:rPr>
      <w:rFonts w:ascii="Courier" w:hAnsi="Courier" w:eastAsia="Times New Roman" w:cs="Courier"/>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doubleindent">
    <w:name w:val="double indent"/>
    <w:basedOn w:val="BodyTextIndent"/>
    <w:qFormat/>
    <w:pPr>
      <w:spacing w:lineRule="auto" w:line="240"/>
      <w:ind w:hanging="0" w:start="710" w:end="769"/>
    </w:pPr>
    <w:rPr>
      <w:szCs w:val="26"/>
    </w:rPr>
  </w:style>
  <w:style w:type="paragraph" w:styleId="CommentText">
    <w:name w:val="Comment Text"/>
    <w:basedOn w:val="Normal"/>
    <w:qFormat/>
    <w:pPr/>
    <w:rPr>
      <w:sz w:val="20"/>
      <w:szCs w:val="20"/>
    </w:rPr>
  </w:style>
  <w:style w:type="paragraph" w:styleId="blockindent">
    <w:name w:val="block indent"/>
    <w:basedOn w:val="Normal"/>
    <w:qFormat/>
    <w:pPr>
      <w:spacing w:lineRule="auto" w:line="480"/>
      <w:ind w:firstLine="720" w:start="0" w:end="0"/>
    </w:pPr>
    <w:rPr/>
  </w:style>
  <w:style w:type="paragraph" w:styleId="BodyText2">
    <w:name w:val="Body Text 2"/>
    <w:basedOn w:val="Normal"/>
    <w:qFormat/>
    <w:pPr>
      <w:spacing w:lineRule="auto" w:line="480"/>
    </w:pPr>
    <w:rPr>
      <w:i/>
      <w:iCs/>
      <w:u w:val="single"/>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pPr>
    <w:rPr/>
  </w:style>
  <w:style w:type="paragraph" w:styleId="BodyTextIndent3">
    <w:name w:val="Body Text Indent 3"/>
    <w:basedOn w:val="Normal"/>
    <w:qFormat/>
    <w:pPr>
      <w:ind w:hanging="355" w:start="1065"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2000-11-17T02:05:00Z</dcterms:created>
  <dc:creator>Andrew Brown</dc:creator>
  <dc:description/>
  <dc:language>en-CA</dc:language>
  <cp:lastModifiedBy>Andrew Brown</cp:lastModifiedBy>
  <cp:lastPrinted>2000-11-16T17:37:00Z</cp:lastPrinted>
  <dcterms:modified xsi:type="dcterms:W3CDTF">2000-11-17T02:57:00Z</dcterms:modified>
  <cp:revision>21</cp:revision>
  <dc:subject/>
  <dc:title>UNITED STATES OF AMERICA</dc:title>
</cp:coreProperties>
</file>