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Statement of Jan Smutny-Jones, </w:t>
      </w:r>
    </w:p>
    <w:p>
      <w:pPr>
        <w:pStyle w:val="Normal"/>
        <w:jc w:val="center"/>
        <w:rPr>
          <w:b/>
          <w:bCs/>
        </w:rPr>
      </w:pPr>
      <w:r>
        <w:rPr>
          <w:b/>
          <w:bCs/>
        </w:rPr>
        <w:t>Executive Director, Independent Energy Producers Association</w:t>
      </w:r>
    </w:p>
    <w:p>
      <w:pPr>
        <w:pStyle w:val="Normal"/>
        <w:jc w:val="center"/>
        <w:rPr>
          <w:b/>
          <w:bCs/>
        </w:rPr>
      </w:pPr>
      <w:r>
        <w:rPr>
          <w:b/>
          <w:bCs/>
        </w:rPr>
        <w:t>Before the Federal Energy Regulatory Commission</w:t>
      </w:r>
    </w:p>
    <w:p>
      <w:pPr>
        <w:pStyle w:val="Normal"/>
        <w:jc w:val="center"/>
        <w:rPr>
          <w:b/>
          <w:bCs/>
        </w:rPr>
      </w:pPr>
      <w:r>
        <w:rPr>
          <w:b/>
          <w:bCs/>
        </w:rPr>
        <w:t>November 9, 2000</w:t>
      </w:r>
    </w:p>
    <w:p>
      <w:pPr>
        <w:pStyle w:val="Normal"/>
        <w:jc w:val="center"/>
        <w:rPr>
          <w:b/>
          <w:bCs/>
        </w:rPr>
      </w:pPr>
      <w:r>
        <w:rPr>
          <w:b/>
          <w:bCs/>
        </w:rPr>
      </w:r>
    </w:p>
    <w:p>
      <w:pPr>
        <w:pStyle w:val="Heading1"/>
        <w:keepNext w:val="false"/>
        <w:ind w:hanging="0" w:start="0"/>
        <w:rPr>
          <w:rFonts w:ascii="Times New Roman" w:hAnsi="Times New Roman" w:cs="Times New Roman"/>
          <w:sz w:val="28"/>
        </w:rPr>
      </w:pPr>
      <w:r>
        <w:rPr>
          <w:rFonts w:cs="Times New Roman" w:ascii="Times New Roman" w:hAnsi="Times New Roman"/>
          <w:sz w:val="28"/>
        </w:rPr>
        <w:t>Background on IEP</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For more than 19 years, IEP has been a non-profit trade association representing the interests of non-utility owned generators.  Our membership consists of QFs, owners of divested plants, developers of new supplies including renewables, and marketers.</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20,000 plus MWs</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The comments today are initial reactions.  IEP continues to review the Order, Staff report and related materials and will file its detailed comments on November 22.</w:t>
      </w:r>
    </w:p>
    <w:p>
      <w:pPr>
        <w:pStyle w:val="Heading1"/>
        <w:ind w:hanging="0" w:start="0"/>
        <w:rPr>
          <w:rFonts w:ascii="Times New Roman" w:hAnsi="Times New Roman" w:cs="Times New Roman"/>
          <w:sz w:val="28"/>
        </w:rPr>
      </w:pPr>
      <w:r>
        <w:rPr>
          <w:rFonts w:cs="Times New Roman" w:ascii="Times New Roman" w:hAnsi="Times New Roman"/>
          <w:sz w:val="28"/>
        </w:rPr>
        <w:t>IEP Key Positions / Themes to getting California’s Markets “Back on Track”</w:t>
      </w:r>
    </w:p>
    <w:p>
      <w:pPr>
        <w:pStyle w:val="Heading2"/>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Construction of Generation and Transmission is Critical</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As noted in the Staff Report, the fundamental issue in California and throughout the West is the Supply/Demand imbalance.  New supply and improved transfer capabilities are required to improve the market dynamics throughout the West and particularly in California</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There has been a market response by private investors in new supply, but regulatory and construction lead times mean the resources will not be in place this coming summer.</w:t>
      </w:r>
    </w:p>
    <w:p>
      <w:pPr>
        <w:pStyle w:val="Heading4"/>
        <w:keepNext w:val="false"/>
        <w:ind w:hanging="0" w:start="0"/>
        <w:rPr>
          <w:b w:val="false"/>
          <w:bCs w:val="false"/>
          <w:sz w:val="24"/>
        </w:rPr>
      </w:pPr>
      <w:r>
        <w:rPr>
          <w:b w:val="false"/>
          <w:bCs w:val="false"/>
          <w:sz w:val="24"/>
        </w:rPr>
        <w:t>Response requires regulatory certainty or investment will go elsewhere;</w:t>
      </w:r>
    </w:p>
    <w:p>
      <w:pPr>
        <w:pStyle w:val="Heading2"/>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Increased Use of Forward Markets</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As noted in the Staff Report, a combination of factors lead to the unreasonable reliance by the utilities of the ISO’s real time market, threatening reliability and undermining market stability.  The changes outlined in the order may help rectify those problems by calling out the need for rational purchasing authority for load-serving entities including the use of bilateral arrangements.</w:t>
      </w:r>
    </w:p>
    <w:p>
      <w:pPr>
        <w:pStyle w:val="Heading2"/>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Robust Retail Market</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 xml:space="preserve">IEP agrees with many other parties that much of California’s problems come from initial restructuring design problems at the retail level.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Retail market design has impeded private investments and innovation by retail providers.</w:t>
      </w:r>
    </w:p>
    <w:p>
      <w:pPr>
        <w:pStyle w:val="Heading4"/>
        <w:keepNext w:val="false"/>
        <w:ind w:hanging="0" w:start="0"/>
        <w:rPr>
          <w:b w:val="false"/>
          <w:bCs w:val="false"/>
          <w:sz w:val="24"/>
        </w:rPr>
      </w:pPr>
      <w:r>
        <w:rPr>
          <w:b w:val="false"/>
          <w:bCs w:val="false"/>
          <w:sz w:val="24"/>
        </w:rPr>
        <w:t xml:space="preserve">Competition can’t exist under current state rules, and improvements are particularly slow to appear from the CPUC.  </w:t>
      </w:r>
    </w:p>
    <w:p>
      <w:pPr>
        <w:pStyle w:val="Heading1"/>
        <w:ind w:hanging="0" w:start="0"/>
        <w:rPr>
          <w:rFonts w:ascii="Times New Roman" w:hAnsi="Times New Roman" w:cs="Times New Roman"/>
          <w:sz w:val="28"/>
        </w:rPr>
      </w:pPr>
      <w:r>
        <w:rPr>
          <w:rFonts w:cs="Times New Roman" w:ascii="Times New Roman" w:hAnsi="Times New Roman"/>
          <w:sz w:val="28"/>
        </w:rPr>
        <w:t>State Level Impediments</w:t>
      </w:r>
    </w:p>
    <w:p>
      <w:pPr>
        <w:pStyle w:val="Heading2"/>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FERC Ability To Fix All Problems Limited</w:t>
      </w:r>
    </w:p>
    <w:p>
      <w:pPr>
        <w:pStyle w:val="Heading2"/>
        <w:numPr>
          <w:ilvl w:val="0"/>
          <w:numId w:val="0"/>
        </w:numPr>
        <w:ind w:hanging="0" w:start="720" w:end="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IEP recognizes that FERC has a narrow set of issues that fall within its jurisdiction, and that the larger improvements can be made in those areas subject to state regulation such as retail market development an improvements in load-serving utility’s procurement portfolios.</w:t>
      </w:r>
    </w:p>
    <w:p>
      <w:pPr>
        <w:pStyle w:val="Heading2"/>
        <w:keepNext w:val="false"/>
        <w:ind w:hanging="0" w:start="0"/>
        <w:rPr>
          <w:rFonts w:ascii="Times New Roman" w:hAnsi="Times New Roman" w:cs="Times New Roman"/>
          <w:i w:val="false"/>
          <w:i w:val="false"/>
          <w:iCs w:val="false"/>
          <w:sz w:val="24"/>
        </w:rPr>
      </w:pPr>
      <w:r>
        <w:rPr>
          <w:rFonts w:cs="Times New Roman" w:ascii="Times New Roman" w:hAnsi="Times New Roman"/>
          <w:i w:val="false"/>
          <w:iCs w:val="false"/>
          <w:sz w:val="24"/>
        </w:rPr>
        <w:t>Retail Market Reforms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Support removal of the utility “Mandatory Buy / Sell” requirement, conditioned on assurances that other retail level reforms take place by a date certain;</w:t>
      </w:r>
    </w:p>
    <w:p>
      <w:pPr>
        <w:pStyle w:val="Heading4"/>
        <w:keepNext w:val="false"/>
        <w:ind w:hanging="0" w:start="0"/>
        <w:rPr>
          <w:b w:val="false"/>
          <w:bCs w:val="false"/>
          <w:sz w:val="24"/>
        </w:rPr>
      </w:pPr>
      <w:r>
        <w:rPr>
          <w:b w:val="false"/>
          <w:bCs w:val="false"/>
          <w:sz w:val="24"/>
        </w:rPr>
        <w:t>Forward contracting by the utilities is an important market improvement within the jurisdiction of the State, but must also ensure that this does not all utilities to thwart development of needed solutions such as demand responsiveness and retail level competition;</w:t>
      </w:r>
    </w:p>
    <w:p>
      <w:pPr>
        <w:pStyle w:val="Heading5"/>
        <w:ind w:hanging="0" w:start="0"/>
        <w:rPr>
          <w:b w:val="false"/>
          <w:bCs w:val="false"/>
          <w:i w:val="false"/>
          <w:i w:val="false"/>
          <w:iCs w:val="false"/>
          <w:sz w:val="24"/>
        </w:rPr>
      </w:pPr>
      <w:r>
        <w:rPr>
          <w:b w:val="false"/>
          <w:bCs w:val="false"/>
          <w:i w:val="false"/>
          <w:iCs w:val="false"/>
          <w:sz w:val="24"/>
        </w:rPr>
        <w:t>IEP’s members have offers out there, but there is little reaction, due to state level uncertainties for the utilities;</w:t>
      </w:r>
    </w:p>
    <w:p>
      <w:pPr>
        <w:pStyle w:val="Heading5"/>
        <w:ind w:hanging="0" w:start="0"/>
        <w:rPr>
          <w:b w:val="false"/>
          <w:bCs w:val="false"/>
          <w:i w:val="false"/>
          <w:i w:val="false"/>
          <w:iCs w:val="false"/>
          <w:sz w:val="24"/>
        </w:rPr>
      </w:pPr>
      <w:r>
        <w:rPr>
          <w:b w:val="false"/>
          <w:bCs w:val="false"/>
          <w:i w:val="false"/>
          <w:iCs w:val="false"/>
          <w:sz w:val="24"/>
        </w:rPr>
        <w:t>SCE’s deal pending for more than a month?</w:t>
      </w:r>
    </w:p>
    <w:p>
      <w:pPr>
        <w:pStyle w:val="Heading5"/>
        <w:ind w:hanging="0" w:start="0"/>
        <w:rPr>
          <w:b w:val="false"/>
          <w:bCs w:val="false"/>
          <w:i w:val="false"/>
          <w:i w:val="false"/>
          <w:iCs w:val="false"/>
          <w:sz w:val="24"/>
        </w:rPr>
      </w:pPr>
      <w:r>
        <w:rPr>
          <w:b w:val="false"/>
          <w:bCs w:val="false"/>
          <w:i w:val="false"/>
          <w:iCs w:val="false"/>
          <w:sz w:val="24"/>
        </w:rPr>
        <w:t>State reasonableness review issues impede execution of the deals creating a double bind where the ultimate consumers lose.</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Development of price responsiveness and robust retail competition is essential;</w:t>
      </w:r>
    </w:p>
    <w:p>
      <w:pPr>
        <w:pStyle w:val="Heading4"/>
        <w:ind w:hanging="0" w:start="0"/>
        <w:rPr>
          <w:b w:val="false"/>
          <w:bCs w:val="false"/>
          <w:sz w:val="24"/>
        </w:rPr>
      </w:pPr>
      <w:r>
        <w:rPr>
          <w:b w:val="false"/>
          <w:bCs w:val="false"/>
          <w:sz w:val="24"/>
        </w:rPr>
        <w:t>Ultimate consumers must recognize the value and price of energy is impacted by region-wide system conditions, including regional weather, hydro conditions and fact that demand that has outstripped supply;</w:t>
      </w:r>
    </w:p>
    <w:p>
      <w:pPr>
        <w:pStyle w:val="Heading5"/>
        <w:ind w:hanging="0" w:start="0"/>
        <w:rPr>
          <w:b w:val="false"/>
          <w:bCs w:val="false"/>
          <w:i w:val="false"/>
          <w:i w:val="false"/>
          <w:iCs w:val="false"/>
          <w:sz w:val="24"/>
        </w:rPr>
      </w:pPr>
      <w:r>
        <w:rPr>
          <w:b w:val="false"/>
          <w:bCs w:val="false"/>
          <w:i w:val="false"/>
          <w:iCs w:val="false"/>
          <w:sz w:val="24"/>
        </w:rPr>
        <w:t>encourages conservation and investments in efficiency devices;</w:t>
      </w:r>
    </w:p>
    <w:p>
      <w:pPr>
        <w:pStyle w:val="Heading4"/>
        <w:keepNext w:val="false"/>
        <w:ind w:hanging="0" w:start="0"/>
        <w:rPr>
          <w:b w:val="false"/>
          <w:bCs w:val="false"/>
          <w:sz w:val="24"/>
        </w:rPr>
      </w:pPr>
      <w:r>
        <w:rPr>
          <w:b w:val="false"/>
          <w:bCs w:val="false"/>
          <w:sz w:val="24"/>
        </w:rPr>
        <w:t>Retail rate freeze, particularly under the current market conditions, exacerbates problems, undermines any price responsiveness and is a panacea which will lead to higher costs.</w:t>
      </w:r>
    </w:p>
    <w:p>
      <w:pPr>
        <w:pStyle w:val="Normal"/>
        <w:rPr>
          <w:b/>
          <w:bCs/>
          <w:sz w:val="24"/>
        </w:rPr>
      </w:pPr>
      <w:r>
        <w:rPr>
          <w:b/>
          <w:bCs/>
          <w:sz w:val="24"/>
        </w:rPr>
      </w:r>
    </w:p>
    <w:p>
      <w:pPr>
        <w:pStyle w:val="Normal"/>
        <w:ind w:firstLine="639" w:end="0"/>
        <w:rPr>
          <w:b/>
          <w:bCs/>
        </w:rPr>
      </w:pPr>
      <w:r>
        <w:rPr>
          <w:b/>
          <w:bCs/>
        </w:rPr>
        <w:t>C.</w:t>
        <w:tab/>
        <w:t>California “Failed To Act” List</w:t>
      </w:r>
    </w:p>
    <w:p>
      <w:pPr>
        <w:pStyle w:val="Normal"/>
        <w:numPr>
          <w:ilvl w:val="0"/>
          <w:numId w:val="2"/>
        </w:numPr>
        <w:rPr/>
      </w:pPr>
      <w:r>
        <w:rPr/>
        <w:t>Load Curtailment/Demand Responsiveness (CPUC)</w:t>
      </w:r>
    </w:p>
    <w:p>
      <w:pPr>
        <w:pStyle w:val="Normal"/>
        <w:numPr>
          <w:ilvl w:val="0"/>
          <w:numId w:val="2"/>
        </w:numPr>
        <w:rPr/>
      </w:pPr>
      <w:r>
        <w:rPr/>
        <w:t>IOU Reasonableness Standards/Procurement PBR (CPUC)</w:t>
      </w:r>
    </w:p>
    <w:p>
      <w:pPr>
        <w:pStyle w:val="Normal"/>
        <w:numPr>
          <w:ilvl w:val="0"/>
          <w:numId w:val="2"/>
        </w:numPr>
        <w:rPr/>
      </w:pPr>
      <w:r>
        <w:rPr/>
        <w:t>Full Retail Rate Unbundling (CPUC)</w:t>
      </w:r>
    </w:p>
    <w:p>
      <w:pPr>
        <w:pStyle w:val="Normal"/>
        <w:numPr>
          <w:ilvl w:val="0"/>
          <w:numId w:val="2"/>
        </w:numPr>
        <w:rPr/>
      </w:pPr>
      <w:r>
        <w:rPr/>
        <w:t>Siting of Peaking Units (EOB, CPUC)</w:t>
      </w:r>
    </w:p>
    <w:p>
      <w:pPr>
        <w:pStyle w:val="Normal"/>
        <w:numPr>
          <w:ilvl w:val="0"/>
          <w:numId w:val="2"/>
        </w:numPr>
        <w:rPr/>
      </w:pPr>
      <w:r>
        <w:rPr/>
        <w:t>Transmission Expansion/Upgrades (CPUC)</w:t>
      </w:r>
    </w:p>
    <w:p>
      <w:pPr>
        <w:pStyle w:val="Normal"/>
        <w:numPr>
          <w:ilvl w:val="0"/>
          <w:numId w:val="2"/>
        </w:numPr>
        <w:rPr/>
      </w:pPr>
      <w:r>
        <w:rPr/>
        <w:t>Retail Market Roles/Responsibilities:  Role of UDC/Default Provider (CPUC)</w:t>
      </w:r>
    </w:p>
    <w:p>
      <w:pPr>
        <w:pStyle w:val="Normal"/>
        <w:numPr>
          <w:ilvl w:val="0"/>
          <w:numId w:val="2"/>
        </w:numPr>
        <w:rPr/>
      </w:pPr>
      <w:r>
        <w:rPr/>
        <w:t>Regulatory stability (EOB, CPUC)</w:t>
      </w:r>
    </w:p>
    <w:p>
      <w:pPr>
        <w:pStyle w:val="Normal"/>
        <w:rPr/>
      </w:pPr>
      <w:r>
        <w:rPr/>
      </w:r>
    </w:p>
    <w:p>
      <w:pPr>
        <w:pStyle w:val="Normal"/>
        <w:ind w:start="1440" w:end="0"/>
        <w:rPr/>
      </w:pPr>
      <w:r>
        <w:rPr/>
      </w:r>
    </w:p>
    <w:p>
      <w:pPr>
        <w:pStyle w:val="Heading1"/>
        <w:ind w:hanging="0" w:start="0"/>
        <w:rPr>
          <w:rFonts w:ascii="Times New Roman" w:hAnsi="Times New Roman" w:cs="Times New Roman"/>
          <w:sz w:val="28"/>
        </w:rPr>
      </w:pPr>
      <w:r>
        <w:rPr>
          <w:rFonts w:cs="Times New Roman" w:ascii="Times New Roman" w:hAnsi="Times New Roman"/>
          <w:sz w:val="28"/>
        </w:rPr>
        <w:t>What FERC Can Do</w:t>
      </w:r>
    </w:p>
    <w:p>
      <w:pPr>
        <w:pStyle w:val="Heading2"/>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Provide Regulatory Certainty via the development of criteria/guidelines for the determination of market power, what constitutes “just and reasonable” rates in the context of a market characterized by scarcity.</w:t>
      </w:r>
    </w:p>
    <w:p>
      <w:pPr>
        <w:pStyle w:val="Normal"/>
        <w:ind w:start="720" w:end="0"/>
        <w:rPr>
          <w:rFonts w:ascii="Times New Roman" w:hAnsi="Times New Roman" w:cs="Times New Roman"/>
          <w:b/>
          <w:bCs/>
          <w:i/>
          <w:i/>
          <w:iCs/>
          <w:sz w:val="24"/>
        </w:rPr>
      </w:pPr>
      <w:r>
        <w:rPr>
          <w:rFonts w:cs="Times New Roman"/>
          <w:b/>
          <w:bCs/>
          <w:i/>
          <w:iCs/>
          <w:sz w:val="24"/>
        </w:rPr>
      </w:r>
    </w:p>
    <w:p>
      <w:pPr>
        <w:pStyle w:val="Heading2"/>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Mandate Independent Boards for FERC jurisdictional transmission operators.</w:t>
      </w:r>
    </w:p>
    <w:p>
      <w:pPr>
        <w:pStyle w:val="Normal"/>
        <w:rPr>
          <w:rFonts w:ascii="Times New Roman" w:hAnsi="Times New Roman" w:cs="Times New Roman"/>
          <w:b/>
          <w:bCs/>
          <w:i/>
          <w:i/>
          <w:iCs/>
          <w:sz w:val="24"/>
        </w:rPr>
      </w:pPr>
      <w:r>
        <w:rPr>
          <w:rFonts w:cs="Times New Roman"/>
          <w:b/>
          <w:bCs/>
          <w:i/>
          <w:iCs/>
          <w:sz w:val="24"/>
        </w:rPr>
      </w:r>
    </w:p>
    <w:p>
      <w:pPr>
        <w:pStyle w:val="Heading2"/>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Establish clear timeframe for imposition of “transitional periods” deemed necessary to fix the market structure, and create incentives/disincentives to achieve reforms within the timeframe.</w:t>
      </w:r>
    </w:p>
    <w:p>
      <w:pPr>
        <w:pStyle w:val="Heading2"/>
        <w:numPr>
          <w:ilvl w:val="0"/>
          <w:numId w:val="0"/>
        </w:numPr>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r>
    </w:p>
    <w:p>
      <w:pPr>
        <w:pStyle w:val="Normal"/>
        <w:rPr>
          <w:b/>
          <w:bCs/>
          <w:i/>
          <w:i/>
          <w:iCs/>
        </w:rPr>
      </w:pPr>
      <w:r>
        <w:rPr>
          <w:b/>
          <w:bCs/>
          <w:i/>
          <w:iCs/>
        </w:rPr>
      </w:r>
    </w:p>
    <w:p>
      <w:pPr>
        <w:pStyle w:val="Heading1"/>
        <w:ind w:hanging="0" w:start="0"/>
        <w:rPr>
          <w:rFonts w:ascii="Times New Roman" w:hAnsi="Times New Roman" w:cs="Times New Roman"/>
          <w:sz w:val="28"/>
        </w:rPr>
      </w:pPr>
      <w:r>
        <w:rPr>
          <w:rFonts w:cs="Times New Roman" w:ascii="Times New Roman" w:hAnsi="Times New Roman"/>
          <w:sz w:val="28"/>
        </w:rPr>
        <w:t>Specific Comments on FERC Order</w:t>
      </w:r>
    </w:p>
    <w:p>
      <w:pPr>
        <w:pStyle w:val="Heading2"/>
        <w:ind w:hanging="0" w:start="0"/>
        <w:rPr>
          <w:rFonts w:ascii="Times New Roman" w:hAnsi="Times New Roman" w:cs="Times New Roman"/>
          <w:sz w:val="24"/>
        </w:rPr>
      </w:pPr>
      <w:r>
        <w:rPr>
          <w:rFonts w:cs="Times New Roman" w:ascii="Times New Roman" w:hAnsi="Times New Roman"/>
          <w:sz w:val="24"/>
        </w:rPr>
        <w:t>Applaud FERC’s Staff Report and Portions of Order</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Staff report represents an objective analysis of  problems with “market fundamentals” throughout the West.</w:t>
      </w:r>
    </w:p>
    <w:p>
      <w:pPr>
        <w:pStyle w:val="Heading4"/>
        <w:ind w:hanging="0" w:start="0"/>
        <w:rPr>
          <w:b w:val="false"/>
          <w:bCs w:val="false"/>
          <w:sz w:val="24"/>
        </w:rPr>
      </w:pPr>
      <w:r>
        <w:rPr>
          <w:b w:val="false"/>
          <w:bCs w:val="false"/>
          <w:sz w:val="24"/>
        </w:rPr>
        <w:t>Shows that market participants have acted within the rules;</w:t>
      </w:r>
    </w:p>
    <w:p>
      <w:pPr>
        <w:pStyle w:val="Heading4"/>
        <w:ind w:hanging="0" w:start="0"/>
        <w:rPr>
          <w:b w:val="false"/>
          <w:bCs w:val="false"/>
          <w:sz w:val="24"/>
        </w:rPr>
      </w:pPr>
      <w:r>
        <w:rPr>
          <w:b w:val="false"/>
          <w:bCs w:val="false"/>
          <w:sz w:val="24"/>
        </w:rPr>
        <w:t>Shows that market is operating in sub-optimal manner and that design can and should be improved.</w:t>
      </w:r>
    </w:p>
    <w:p>
      <w:pPr>
        <w:pStyle w:val="Heading4"/>
        <w:ind w:hanging="0" w:start="0"/>
        <w:rPr>
          <w:b w:val="false"/>
          <w:bCs w:val="false"/>
          <w:sz w:val="24"/>
        </w:rPr>
      </w:pPr>
      <w:r>
        <w:rPr>
          <w:b w:val="false"/>
          <w:bCs w:val="false"/>
          <w:sz w:val="24"/>
        </w:rPr>
        <w:t>Now is the time to move forward &amp; get long term options and solutions into place to correct the design as well as underlying state of the marketplace.</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Order Reaffirms FERC’s Commitment to Markets;</w:t>
      </w:r>
    </w:p>
    <w:p>
      <w:pPr>
        <w:pStyle w:val="Heading4"/>
        <w:ind w:hanging="0" w:start="0"/>
        <w:rPr>
          <w:b w:val="false"/>
          <w:bCs w:val="false"/>
          <w:sz w:val="24"/>
        </w:rPr>
      </w:pPr>
      <w:r>
        <w:rPr>
          <w:b w:val="false"/>
          <w:bCs w:val="false"/>
          <w:sz w:val="24"/>
        </w:rPr>
        <w:t>FERC must resist calls for re-regulation;</w:t>
      </w:r>
    </w:p>
    <w:p>
      <w:pPr>
        <w:pStyle w:val="Heading4"/>
        <w:ind w:hanging="0" w:start="0"/>
        <w:rPr>
          <w:b w:val="false"/>
          <w:bCs w:val="false"/>
          <w:sz w:val="24"/>
        </w:rPr>
      </w:pPr>
      <w:r>
        <w:rPr>
          <w:b w:val="false"/>
          <w:bCs w:val="false"/>
          <w:sz w:val="24"/>
        </w:rPr>
        <w:t>FERC must resist calls for creating a hybrid system that is somewhere between traditional cost-of-service rate regulation and markets based systems; such an approach is likely to embrace the worst of both worlds.</w:t>
      </w:r>
    </w:p>
    <w:p>
      <w:pPr>
        <w:pStyle w:val="Heading5"/>
        <w:ind w:hanging="0" w:start="0"/>
        <w:rPr>
          <w:b w:val="false"/>
          <w:bCs w:val="false"/>
          <w:i w:val="false"/>
          <w:i w:val="false"/>
          <w:iCs w:val="false"/>
          <w:sz w:val="24"/>
        </w:rPr>
      </w:pPr>
      <w:r>
        <w:rPr>
          <w:b w:val="false"/>
          <w:bCs w:val="false"/>
          <w:i w:val="false"/>
          <w:iCs w:val="false"/>
          <w:sz w:val="24"/>
        </w:rPr>
        <w:t>Must recognize that even a “perfect” competitive market can produce results that are not popular</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The Order represents an important and decisive step in the right direction;</w:t>
      </w:r>
    </w:p>
    <w:p>
      <w:pPr>
        <w:pStyle w:val="Heading4"/>
        <w:ind w:hanging="0" w:start="0"/>
        <w:rPr>
          <w:b w:val="false"/>
          <w:bCs w:val="false"/>
          <w:sz w:val="24"/>
        </w:rPr>
      </w:pPr>
      <w:r>
        <w:rPr>
          <w:b w:val="false"/>
          <w:bCs w:val="false"/>
          <w:sz w:val="24"/>
        </w:rPr>
        <w:t>Support the move to truly “independent” boards</w:t>
      </w:r>
    </w:p>
    <w:p>
      <w:pPr>
        <w:pStyle w:val="Heading5"/>
        <w:ind w:hanging="0" w:start="0"/>
        <w:rPr>
          <w:b w:val="false"/>
          <w:bCs w:val="false"/>
          <w:i w:val="false"/>
          <w:i w:val="false"/>
          <w:iCs w:val="false"/>
          <w:sz w:val="24"/>
        </w:rPr>
      </w:pPr>
      <w:r>
        <w:rPr>
          <w:b w:val="false"/>
          <w:bCs w:val="false"/>
          <w:i w:val="false"/>
          <w:iCs w:val="false"/>
          <w:sz w:val="24"/>
        </w:rPr>
        <w:t>Recent events and politicization of issues before the board has ensured that it cannot undertake the tough, decisive steps that are needed to ensure reliability and improve market mechanics.</w:t>
      </w:r>
    </w:p>
    <w:p>
      <w:pPr>
        <w:pStyle w:val="Normal"/>
        <w:rPr>
          <w:b/>
          <w:bCs/>
          <w:i/>
          <w:i/>
          <w:iCs/>
          <w:sz w:val="24"/>
        </w:rPr>
      </w:pPr>
      <w:r>
        <w:rPr>
          <w:b/>
          <w:bCs/>
          <w:i/>
          <w:iCs/>
          <w:sz w:val="24"/>
        </w:rPr>
      </w:r>
    </w:p>
    <w:p>
      <w:pPr>
        <w:pStyle w:val="Heading2"/>
        <w:numPr>
          <w:ilvl w:val="0"/>
          <w:numId w:val="0"/>
        </w:numPr>
        <w:ind w:hanging="0" w:start="0"/>
        <w:rPr>
          <w:rFonts w:ascii="Times New Roman" w:hAnsi="Times New Roman" w:cs="Times New Roman"/>
          <w:i w:val="false"/>
          <w:i w:val="false"/>
          <w:iCs w:val="false"/>
        </w:rPr>
      </w:pPr>
      <w:r>
        <w:rPr>
          <w:rFonts w:cs="Times New Roman" w:ascii="Times New Roman" w:hAnsi="Times New Roman"/>
          <w:i w:val="false"/>
          <w:iCs w:val="false"/>
        </w:rPr>
        <w:t>6.</w:t>
        <w:tab/>
        <w:t>Clarifications / Modifications are Needed to the Order</w:t>
      </w:r>
    </w:p>
    <w:p>
      <w:pPr>
        <w:pStyle w:val="Heading2"/>
        <w:numPr>
          <w:ilvl w:val="0"/>
          <w:numId w:val="0"/>
        </w:numPr>
        <w:ind w:hanging="0" w:start="720" w:end="0"/>
        <w:rPr/>
      </w:pPr>
      <w:r>
        <w:rPr/>
        <w:t>A.</w:t>
        <w:tab/>
        <w:t>Regulatory Uncertainty can and should be addressed by FERC:</w:t>
      </w:r>
    </w:p>
    <w:p>
      <w:pPr>
        <w:pStyle w:val="Heading4"/>
        <w:ind w:hanging="0" w:start="0"/>
        <w:rPr>
          <w:b w:val="false"/>
          <w:bCs w:val="false"/>
          <w:sz w:val="24"/>
        </w:rPr>
      </w:pPr>
      <w:r>
        <w:rPr>
          <w:b w:val="false"/>
          <w:bCs w:val="false"/>
          <w:sz w:val="24"/>
        </w:rPr>
        <w:t>The Order creates and continues uncertainty regarding the potential for refunds, which in turn increases capital costs and decreases likelihood of needed timely investments in new resources</w:t>
      </w:r>
    </w:p>
    <w:p>
      <w:pPr>
        <w:pStyle w:val="Heading5"/>
        <w:ind w:hanging="0" w:start="0"/>
        <w:rPr>
          <w:b w:val="false"/>
          <w:bCs w:val="false"/>
          <w:i w:val="false"/>
          <w:i w:val="false"/>
          <w:iCs w:val="false"/>
          <w:sz w:val="24"/>
        </w:rPr>
      </w:pPr>
      <w:r>
        <w:rPr>
          <w:b w:val="false"/>
          <w:bCs w:val="false"/>
          <w:i w:val="false"/>
          <w:iCs w:val="false"/>
          <w:sz w:val="24"/>
        </w:rPr>
        <w:t>Retroactive prior to October 2 is not supportable under law and is undermining;</w:t>
      </w:r>
    </w:p>
    <w:p>
      <w:pPr>
        <w:pStyle w:val="Heading6"/>
        <w:ind w:hanging="0" w:start="0"/>
        <w:rPr>
          <w:b w:val="false"/>
          <w:bCs w:val="false"/>
          <w:sz w:val="24"/>
        </w:rPr>
      </w:pPr>
      <w:r>
        <w:rPr>
          <w:b w:val="false"/>
          <w:bCs w:val="false"/>
          <w:sz w:val="24"/>
        </w:rPr>
        <w:t>IEP supports FERC’s analysis on this issue as described in Appendix E of the Order.</w:t>
      </w:r>
    </w:p>
    <w:p>
      <w:pPr>
        <w:pStyle w:val="Heading5"/>
        <w:ind w:hanging="0" w:start="0"/>
        <w:rPr>
          <w:b w:val="false"/>
          <w:bCs w:val="false"/>
          <w:i w:val="false"/>
          <w:i w:val="false"/>
          <w:iCs w:val="false"/>
          <w:sz w:val="24"/>
        </w:rPr>
      </w:pPr>
      <w:r>
        <w:rPr>
          <w:b w:val="false"/>
          <w:bCs w:val="false"/>
          <w:i w:val="false"/>
          <w:iCs w:val="false"/>
          <w:sz w:val="24"/>
        </w:rPr>
        <w:t>Beyond 15-month statutory period refund period is questionable at best; The two-year refund “cloud” may impede investments in new capacity.</w:t>
      </w:r>
    </w:p>
    <w:p>
      <w:pPr>
        <w:pStyle w:val="Heading6"/>
        <w:ind w:hanging="0" w:start="0"/>
        <w:rPr>
          <w:b w:val="false"/>
          <w:bCs w:val="false"/>
          <w:sz w:val="24"/>
        </w:rPr>
      </w:pPr>
      <w:r>
        <w:rPr>
          <w:b w:val="false"/>
          <w:bCs w:val="false"/>
          <w:sz w:val="24"/>
        </w:rPr>
        <w:t xml:space="preserve">Need to explicitly state that the nature of this multi-year risk and that it is a temporary “transition” device only; </w:t>
      </w:r>
    </w:p>
    <w:p>
      <w:pPr>
        <w:pStyle w:val="Heading6"/>
        <w:ind w:hanging="0" w:start="0"/>
        <w:rPr>
          <w:b w:val="false"/>
          <w:bCs w:val="false"/>
          <w:sz w:val="24"/>
        </w:rPr>
      </w:pPr>
      <w:r>
        <w:rPr>
          <w:b w:val="false"/>
          <w:bCs w:val="false"/>
          <w:sz w:val="24"/>
        </w:rPr>
        <w:t>Generators selling output under forward, bilateral arrangements should not be at risk for subsequent transactions by the counterparty.</w:t>
      </w:r>
    </w:p>
    <w:p>
      <w:pPr>
        <w:pStyle w:val="Heading6"/>
        <w:ind w:hanging="0" w:start="0"/>
        <w:rPr>
          <w:b w:val="false"/>
          <w:bCs w:val="false"/>
          <w:sz w:val="24"/>
        </w:rPr>
      </w:pPr>
      <w:r>
        <w:rPr>
          <w:b w:val="false"/>
          <w:bCs w:val="false"/>
          <w:sz w:val="24"/>
        </w:rPr>
        <w:t xml:space="preserve">Need for clear standards of review, including the time frame to be analyzed when assessing allegations of abuses of market power; </w:t>
      </w:r>
    </w:p>
    <w:p>
      <w:pPr>
        <w:pStyle w:val="Heading4"/>
        <w:ind w:hanging="0" w:start="0"/>
        <w:rPr>
          <w:b w:val="false"/>
          <w:bCs w:val="false"/>
          <w:sz w:val="24"/>
        </w:rPr>
      </w:pPr>
      <w:r>
        <w:rPr>
          <w:b w:val="false"/>
          <w:bCs w:val="false"/>
          <w:sz w:val="24"/>
        </w:rPr>
        <w:t>“</w:t>
      </w:r>
      <w:r>
        <w:rPr>
          <w:b w:val="false"/>
          <w:bCs w:val="false"/>
          <w:sz w:val="24"/>
        </w:rPr>
        <w:t>Equitable Solutions” language invites litigation and creates uncertainty that will harm California;</w:t>
      </w:r>
    </w:p>
    <w:p>
      <w:pPr>
        <w:pStyle w:val="Heading5"/>
        <w:ind w:hanging="0" w:start="0"/>
        <w:rPr>
          <w:b w:val="false"/>
          <w:bCs w:val="false"/>
          <w:i w:val="false"/>
          <w:i w:val="false"/>
          <w:iCs w:val="false"/>
          <w:sz w:val="24"/>
        </w:rPr>
      </w:pPr>
      <w:r>
        <w:rPr>
          <w:b w:val="false"/>
          <w:bCs w:val="false"/>
          <w:i w:val="false"/>
          <w:iCs w:val="false"/>
          <w:sz w:val="24"/>
        </w:rPr>
        <w:t>Media accounts are replete with opinions that language found in the Order will form the basis of litigation that will mire development of real solutions;</w:t>
      </w:r>
    </w:p>
    <w:p>
      <w:pPr>
        <w:pStyle w:val="Heading2"/>
        <w:ind w:hanging="0" w:start="0"/>
        <w:rPr/>
      </w:pPr>
      <w:r>
        <w:rPr/>
        <w:t>IEP has concerns about the implementation of the “soft cap” proposal:</w:t>
      </w:r>
    </w:p>
    <w:p>
      <w:pPr>
        <w:pStyle w:val="Heading4"/>
        <w:ind w:hanging="0" w:start="0"/>
        <w:rPr>
          <w:b w:val="false"/>
          <w:bCs w:val="false"/>
          <w:sz w:val="24"/>
        </w:rPr>
      </w:pPr>
      <w:r>
        <w:rPr>
          <w:b w:val="false"/>
          <w:bCs w:val="false"/>
          <w:sz w:val="24"/>
        </w:rPr>
        <w:t xml:space="preserve">IEP does not support price caps because it impedes the operation of the market. </w:t>
      </w:r>
    </w:p>
    <w:p>
      <w:pPr>
        <w:pStyle w:val="Heading5"/>
        <w:ind w:hanging="0" w:start="0"/>
        <w:rPr>
          <w:b w:val="false"/>
          <w:bCs w:val="false"/>
          <w:i w:val="false"/>
          <w:i w:val="false"/>
          <w:iCs w:val="false"/>
          <w:sz w:val="24"/>
        </w:rPr>
      </w:pPr>
      <w:r>
        <w:rPr>
          <w:b w:val="false"/>
          <w:bCs w:val="false"/>
          <w:i w:val="false"/>
          <w:iCs w:val="false"/>
          <w:sz w:val="24"/>
        </w:rPr>
        <w:t>Staff report notes that caps do not work;</w:t>
      </w:r>
    </w:p>
    <w:p>
      <w:pPr>
        <w:pStyle w:val="Heading4"/>
        <w:ind w:hanging="0" w:start="0"/>
        <w:rPr>
          <w:b w:val="false"/>
          <w:bCs w:val="false"/>
          <w:sz w:val="24"/>
        </w:rPr>
      </w:pPr>
      <w:r>
        <w:rPr>
          <w:b w:val="false"/>
          <w:bCs w:val="false"/>
          <w:sz w:val="24"/>
        </w:rPr>
        <w:t>Not certain that soft cap would attract new investments in supply or foster meaningful demand response—number appears too low;</w:t>
      </w:r>
    </w:p>
    <w:p>
      <w:pPr>
        <w:pStyle w:val="Heading4"/>
        <w:ind w:hanging="0" w:start="0"/>
        <w:rPr>
          <w:b w:val="false"/>
          <w:bCs w:val="false"/>
          <w:sz w:val="24"/>
        </w:rPr>
      </w:pPr>
      <w:r>
        <w:rPr>
          <w:b w:val="false"/>
          <w:bCs w:val="false"/>
          <w:sz w:val="24"/>
        </w:rPr>
        <w:t>The soft cap appears to have a particularly and problematic impact on power marketers who make purchases for resale but who do not own the physical generation assets;</w:t>
      </w:r>
    </w:p>
    <w:p>
      <w:pPr>
        <w:pStyle w:val="Heading4"/>
        <w:ind w:hanging="0" w:start="0"/>
        <w:rPr>
          <w:b w:val="false"/>
          <w:bCs w:val="false"/>
          <w:sz w:val="24"/>
        </w:rPr>
      </w:pPr>
      <w:r>
        <w:rPr>
          <w:b w:val="false"/>
          <w:bCs w:val="false"/>
          <w:sz w:val="24"/>
        </w:rPr>
        <w:t>Soft cap proposal may divert CAISO resources from developing solutions to longer-run problems in terms of software modifications/development and implementation of the proposal, particularly if implementation is not straight forward.</w:t>
      </w:r>
    </w:p>
    <w:p>
      <w:pPr>
        <w:pStyle w:val="Heading2"/>
        <w:ind w:hanging="0" w:start="0"/>
        <w:rPr/>
      </w:pPr>
      <w:r>
        <w:rPr/>
        <w:t>Refund potential outlined in Order is unclear and should be eliminated or clarified.</w:t>
      </w:r>
    </w:p>
    <w:p>
      <w:pPr>
        <w:pStyle w:val="Heading4"/>
        <w:ind w:hanging="0" w:start="0"/>
        <w:rPr>
          <w:b w:val="false"/>
          <w:bCs w:val="false"/>
          <w:sz w:val="24"/>
        </w:rPr>
      </w:pPr>
      <w:r>
        <w:rPr>
          <w:b w:val="false"/>
          <w:bCs w:val="false"/>
          <w:sz w:val="24"/>
        </w:rPr>
        <w:t xml:space="preserve">Refund trigger standard must be the “abuse of market power” which should be clearly defined as the manipulation of market results over a period of time. </w:t>
      </w:r>
    </w:p>
    <w:p>
      <w:pPr>
        <w:pStyle w:val="Heading4"/>
        <w:ind w:hanging="0" w:start="0"/>
        <w:rPr>
          <w:b w:val="false"/>
          <w:bCs w:val="false"/>
          <w:sz w:val="24"/>
        </w:rPr>
      </w:pPr>
      <w:r>
        <w:rPr>
          <w:b w:val="false"/>
          <w:bCs w:val="false"/>
          <w:sz w:val="24"/>
        </w:rPr>
        <w:t>Time period to be reviewed for analyzing potential for refunds is unclear; there is a real need to recognize that projects must recover capital and other fixed costs from the market revenues.</w:t>
      </w:r>
    </w:p>
    <w:p>
      <w:pPr>
        <w:pStyle w:val="Normal"/>
        <w:rPr>
          <w:b/>
          <w:bCs/>
          <w:sz w:val="24"/>
        </w:rPr>
      </w:pPr>
      <w:r>
        <w:rPr>
          <w:b/>
          <w:bCs/>
          <w:sz w:val="24"/>
        </w:rPr>
      </w:r>
    </w:p>
    <w:p>
      <w:pPr>
        <w:pStyle w:val="Heading1"/>
        <w:keepNext w:val="false"/>
        <w:ind w:hanging="0" w:start="0"/>
        <w:rPr>
          <w:rFonts w:ascii="Times New Roman" w:hAnsi="Times New Roman" w:cs="Times New Roman"/>
          <w:sz w:val="28"/>
        </w:rPr>
      </w:pPr>
      <w:r>
        <w:rPr>
          <w:rFonts w:cs="Times New Roman" w:ascii="Times New Roman" w:hAnsi="Times New Roman"/>
          <w:sz w:val="28"/>
        </w:rPr>
        <w:t>It is Critical to Move Forward to Solve These Problems</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Time is of the Essence</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Peak season is about 7 months away and that cannot be mitigated;</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WSCC reserves continue to be short;</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Cost associated with a local or regional blackout will be extensive;</w:t>
      </w:r>
    </w:p>
    <w:p>
      <w:pPr>
        <w:pStyle w:val="Heading3"/>
        <w:keepNext w:val="false"/>
        <w:spacing w:before="240" w:after="60"/>
        <w:ind w:hanging="0" w:start="0"/>
        <w:rPr>
          <w:rFonts w:ascii="Times New Roman" w:hAnsi="Times New Roman" w:cs="Times New Roman"/>
          <w:b w:val="false"/>
          <w:bCs w:val="false"/>
          <w:sz w:val="24"/>
        </w:rPr>
      </w:pPr>
      <w:r>
        <w:rPr>
          <w:rFonts w:cs="Times New Roman" w:ascii="Times New Roman" w:hAnsi="Times New Roman"/>
          <w:b w:val="false"/>
          <w:bCs w:val="false"/>
          <w:sz w:val="24"/>
        </w:rPr>
        <w:t>Action must happen now to provide the possibility that some resources can be in place; delay will ensure that they are not.</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DRAFT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pPr>
    <w:r>
      <w:rPr>
        <w:rStyle w:val="PageNumber"/>
      </w:rPr>
      <w:t>November 6, 2000</w:t>
      <w:tab/>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/mnt/main-storage/datasets/enron-docs/doc/001109_Statement_of_Jan_Smutny.v3_SKK_mark_up.doc</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upperRoman"/>
      <w:lvlText w:val="%1."/>
      <w:lvlJc w:val="start"/>
      <w:pPr>
        <w:tabs>
          <w:tab w:val="num" w:pos="720"/>
        </w:tabs>
        <w:ind w:start="0" w:hanging="0"/>
      </w:pPr>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lowerLetter"/>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2000-11-07T21:25:00Z</dcterms:created>
  <dc:creator>Andrew Brown</dc:creator>
  <dc:description/>
  <dc:language>en-CA</dc:language>
  <cp:lastModifiedBy>Steven Kelly</cp:lastModifiedBy>
  <cp:lastPrinted>2000-11-07T16:04:00Z</cp:lastPrinted>
  <dcterms:modified xsi:type="dcterms:W3CDTF">2000-11-07T21:44:00Z</dcterms:modified>
  <cp:revision>5</cp:revision>
  <dc:subject/>
  <dc:title>Statement of Jan Smutny-Jones, </dc:title>
</cp:coreProperties>
</file>