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 xml:space="preserve">Statement of Jan Smutny-Jones, </w:t>
      </w:r>
    </w:p>
    <w:p>
      <w:pPr>
        <w:pStyle w:val="Normal"/>
        <w:jc w:val="center"/>
        <w:rPr>
          <w:b/>
          <w:bCs/>
        </w:rPr>
      </w:pPr>
      <w:r>
        <w:rPr>
          <w:b/>
          <w:bCs/>
        </w:rPr>
        <w:t>Executive Director, Independent Energy Producers Association</w:t>
      </w:r>
    </w:p>
    <w:p>
      <w:pPr>
        <w:pStyle w:val="Normal"/>
        <w:jc w:val="center"/>
        <w:rPr>
          <w:b/>
          <w:bCs/>
        </w:rPr>
      </w:pPr>
      <w:r>
        <w:rPr>
          <w:b/>
          <w:bCs/>
        </w:rPr>
        <w:t>Before the Federal Energy Regulatory Commission</w:t>
      </w:r>
    </w:p>
    <w:p>
      <w:pPr>
        <w:pStyle w:val="Normal"/>
        <w:jc w:val="center"/>
        <w:rPr>
          <w:b/>
          <w:bCs/>
        </w:rPr>
      </w:pPr>
      <w:r>
        <w:rPr>
          <w:b/>
          <w:bCs/>
        </w:rPr>
        <w:t>November 9, 2000</w:t>
      </w:r>
    </w:p>
    <w:p>
      <w:pPr>
        <w:pStyle w:val="Heading1"/>
        <w:keepNext w:val="false"/>
        <w:numPr>
          <w:ilvl w:val="0"/>
          <w:numId w:val="0"/>
        </w:numPr>
        <w:ind w:hanging="0" w:start="0"/>
        <w:rPr>
          <w:rFonts w:ascii="Times New Roman" w:hAnsi="Times New Roman" w:cs="Times New Roman"/>
          <w:sz w:val="24"/>
        </w:rPr>
      </w:pPr>
      <w:r>
        <w:rPr>
          <w:rFonts w:cs="Times New Roman" w:ascii="Times New Roman" w:hAnsi="Times New Roman"/>
          <w:sz w:val="24"/>
        </w:rPr>
        <w:t>I.</w:t>
        <w:tab/>
        <w:t>Introduction</w:t>
      </w:r>
    </w:p>
    <w:p>
      <w:pPr>
        <w:pStyle w:val="Heading2"/>
        <w:keepNext w:val="false"/>
        <w:numPr>
          <w:ilvl w:val="0"/>
          <w:numId w:val="0"/>
        </w:numPr>
        <w:ind w:firstLine="710" w:start="0" w:end="0"/>
        <w:rPr>
          <w:rFonts w:ascii="Times New Roman" w:hAnsi="Times New Roman" w:cs="Times New Roman"/>
          <w:b w:val="false"/>
          <w:bCs w:val="false"/>
          <w:i w:val="false"/>
          <w:i w:val="false"/>
          <w:iCs w:val="false"/>
          <w:sz w:val="24"/>
        </w:rPr>
      </w:pPr>
      <w:r>
        <w:rPr>
          <w:rFonts w:cs="Times New Roman" w:ascii="Times New Roman" w:hAnsi="Times New Roman"/>
          <w:b w:val="false"/>
          <w:bCs w:val="false"/>
          <w:i w:val="false"/>
          <w:iCs w:val="false"/>
          <w:sz w:val="24"/>
        </w:rPr>
        <w:t>The Independent Energy Producers Association (“IEP”) was founded more than 19 years ago as a non-profit trade association to represent the interests of non-utility owned generators, primarily “qualifying facilities” under PURPA.  Today, our membership has more than 20,000 MWs of diverse, in-state power capacity, including QFs, the owners of voluntarily divested utility plants, developers of new in-state supplies from renewable resources and clean natural gas facilities, as well as certified power marketers.</w:t>
      </w:r>
    </w:p>
    <w:p>
      <w:pPr>
        <w:pStyle w:val="Heading2"/>
        <w:keepNext w:val="false"/>
        <w:numPr>
          <w:ilvl w:val="0"/>
          <w:numId w:val="0"/>
        </w:numPr>
        <w:ind w:firstLine="710" w:start="0" w:end="0"/>
        <w:rPr>
          <w:rFonts w:ascii="Times New Roman" w:hAnsi="Times New Roman" w:cs="Times New Roman"/>
          <w:b w:val="false"/>
          <w:bCs w:val="false"/>
          <w:i w:val="false"/>
          <w:i w:val="false"/>
          <w:iCs w:val="false"/>
          <w:sz w:val="24"/>
        </w:rPr>
      </w:pPr>
      <w:r>
        <w:rPr>
          <w:rFonts w:cs="Times New Roman" w:ascii="Times New Roman" w:hAnsi="Times New Roman"/>
          <w:b w:val="false"/>
          <w:bCs w:val="false"/>
          <w:i w:val="false"/>
          <w:iCs w:val="false"/>
          <w:sz w:val="24"/>
        </w:rPr>
        <w:t>This statement represents our initial reaction to the Staff Report and November 1 Order.  IEP continues to review the Order and related materials and will file its detailed comments on November 22.  However, we do have some comments on the direction the Commission appears to be headed and the next steps that are needed to get California’s marketplace “back on track.”</w:t>
      </w:r>
    </w:p>
    <w:p>
      <w:pPr>
        <w:pStyle w:val="Heading1"/>
        <w:keepNext w:val="false"/>
        <w:numPr>
          <w:ilvl w:val="0"/>
          <w:numId w:val="3"/>
        </w:numPr>
        <w:rPr>
          <w:rFonts w:ascii="Times New Roman" w:hAnsi="Times New Roman" w:cs="Times New Roman"/>
          <w:sz w:val="24"/>
        </w:rPr>
      </w:pPr>
      <w:r>
        <w:rPr>
          <w:rFonts w:cs="Times New Roman" w:ascii="Times New Roman" w:hAnsi="Times New Roman"/>
          <w:sz w:val="24"/>
        </w:rPr>
        <w:t>Three Points are Central to Correcting the Markets.</w:t>
      </w:r>
    </w:p>
    <w:p>
      <w:pPr>
        <w:pStyle w:val="BodyTextIndent"/>
        <w:rPr/>
      </w:pPr>
      <w:r>
        <w:rPr/>
        <w:t xml:space="preserve">IEP believes that a comprehensive set of options and solutions can help get California’s markets, as well as other Western markets, “back on track.”  Three main issues—or elements—of reform have surfaced as the most promising.  These are: </w:t>
      </w:r>
    </w:p>
    <w:p>
      <w:pPr>
        <w:pStyle w:val="Normal"/>
        <w:ind w:firstLine="710" w:end="0"/>
        <w:rPr/>
      </w:pPr>
      <w:r>
        <w:rPr/>
      </w:r>
    </w:p>
    <w:p>
      <w:pPr>
        <w:pStyle w:val="Normal"/>
        <w:spacing w:lineRule="auto" w:line="360"/>
        <w:ind w:start="710" w:end="0"/>
        <w:rPr/>
      </w:pPr>
      <w:r>
        <w:rPr/>
        <w:t xml:space="preserve">(1) the development of new generation and transmission capacity; </w:t>
      </w:r>
    </w:p>
    <w:p>
      <w:pPr>
        <w:pStyle w:val="Normal"/>
        <w:spacing w:lineRule="auto" w:line="360"/>
        <w:ind w:firstLine="710" w:end="0"/>
        <w:rPr/>
      </w:pPr>
      <w:r>
        <w:rPr/>
        <w:t xml:space="preserve">(2) increased use of the forward markets to supply demand; and </w:t>
      </w:r>
    </w:p>
    <w:p>
      <w:pPr>
        <w:pStyle w:val="BodyTextIndent3"/>
        <w:rPr/>
      </w:pPr>
      <w:r>
        <w:rPr/>
        <w:t xml:space="preserve">(3) the development of a meaningful and robust retail marketplace with price-responsive demand.   </w:t>
      </w:r>
    </w:p>
    <w:p>
      <w:pPr>
        <w:pStyle w:val="Normal"/>
        <w:ind w:firstLine="710" w:end="0"/>
        <w:rPr/>
      </w:pPr>
      <w:r>
        <w:rPr/>
      </w:r>
    </w:p>
    <w:p>
      <w:pPr>
        <w:pStyle w:val="Normal"/>
        <w:rPr/>
      </w:pPr>
      <w:r>
        <w:rPr/>
        <w:t>The decision to take decisive steps in these areas, in conjunction with reducing risks associated with regulatory uncertainty, can clearly assist in improving market efficiencies and prices faced by consumers.  But time is of the essence, and any delays in improving the conditions underlying these markets will only frustrate the restructuring efforts to the detriment of California.</w:t>
      </w:r>
    </w:p>
    <w:p>
      <w:pPr>
        <w:pStyle w:val="Heading2"/>
        <w:keepNext w:val="false"/>
        <w:ind w:hanging="0" w:start="0"/>
        <w:rPr>
          <w:rFonts w:ascii="Times New Roman" w:hAnsi="Times New Roman" w:cs="Times New Roman"/>
          <w:i w:val="false"/>
          <w:i w:val="false"/>
          <w:iCs w:val="false"/>
          <w:sz w:val="24"/>
        </w:rPr>
      </w:pPr>
      <w:r>
        <w:rPr>
          <w:rFonts w:cs="Times New Roman" w:ascii="Times New Roman" w:hAnsi="Times New Roman"/>
          <w:i w:val="false"/>
          <w:iCs w:val="false"/>
          <w:sz w:val="24"/>
        </w:rPr>
        <w:t>Construction of Generation and Transmission is Critical</w:t>
      </w:r>
    </w:p>
    <w:p>
      <w:pPr>
        <w:pStyle w:val="Normal"/>
        <w:ind w:firstLine="720" w:end="0"/>
        <w:rPr/>
      </w:pPr>
      <w:r>
        <w:rPr/>
        <w:t xml:space="preserve">As noted in the Staff Report, the fundamental issue in California and throughout the West is the current Supply/Demand imbalance.  New supply and improved transfer capabilities are absolutely required to improve the market dynamics throughout the West and particularly in California.  Clearly the explosion of economic activity and increased populations in the West, coupled with the unforecastable impact of weather, has increased the likelihood that demand will go unserved in the future without some major capital projects.  </w:t>
      </w:r>
    </w:p>
    <w:p>
      <w:pPr>
        <w:pStyle w:val="Normal"/>
        <w:ind w:firstLine="720" w:end="0"/>
        <w:rPr/>
      </w:pPr>
      <w:r>
        <w:rPr/>
      </w:r>
    </w:p>
    <w:p>
      <w:pPr>
        <w:pStyle w:val="Normal"/>
        <w:ind w:firstLine="720" w:end="0"/>
        <w:rPr/>
      </w:pPr>
      <w:r>
        <w:rPr/>
        <w:t>IEP wishes to stress there has been a real response from private, non-utility entities.  There is a tremendous effort underway to get new generation resources in place as quickly as possible.  Private companies are ready to invest billions of dollars in plant modernizations and new projects to meet the growing demand in California and elsewhere.  But absent major changes to the regulatory environment—much of which rests with the State—it appears unlikely that sufficient resources will be in place seven months from now to meet this demand.  Steps must be taken now to improve the markets so those investments will happen, otherwise we fear that the resources will go somewhere else where power supplies are also thin.</w:t>
      </w:r>
    </w:p>
    <w:p>
      <w:pPr>
        <w:pStyle w:val="Heading2"/>
        <w:keepNext w:val="false"/>
        <w:ind w:hanging="0" w:start="0"/>
        <w:rPr>
          <w:rFonts w:ascii="Times New Roman" w:hAnsi="Times New Roman" w:cs="Times New Roman"/>
          <w:i w:val="false"/>
          <w:i w:val="false"/>
          <w:iCs w:val="false"/>
          <w:sz w:val="24"/>
        </w:rPr>
      </w:pPr>
      <w:r>
        <w:rPr>
          <w:rFonts w:cs="Times New Roman" w:ascii="Times New Roman" w:hAnsi="Times New Roman"/>
          <w:i w:val="false"/>
          <w:iCs w:val="false"/>
          <w:sz w:val="24"/>
        </w:rPr>
        <w:t>Increased Use of Forward Markets</w:t>
      </w:r>
    </w:p>
    <w:p>
      <w:pPr>
        <w:pStyle w:val="Normal"/>
        <w:ind w:firstLine="720" w:end="0"/>
        <w:rPr/>
      </w:pPr>
      <w:r>
        <w:rPr/>
        <w:t>As noted in the Staff Report, a combination of factors has led to the unreasonable reliance on the ISO’s real time market, ultimately threatening system reliability in and beyond California.    We expect that changes outlined in the Order may help rectify both the operational and commercial problems associated with serving loads “just in time.” By calling out the need for rational purchasing authority for the load-serving entities, including their use of bilateral arrangements, we think that FERC has identified areas where significant advances in market stability can be made relatively easily.</w:t>
      </w:r>
    </w:p>
    <w:p>
      <w:pPr>
        <w:pStyle w:val="Heading2"/>
        <w:keepNext w:val="false"/>
        <w:ind w:hanging="0" w:start="0"/>
        <w:rPr>
          <w:rFonts w:ascii="Times New Roman" w:hAnsi="Times New Roman" w:cs="Times New Roman"/>
          <w:i w:val="false"/>
          <w:i w:val="false"/>
          <w:iCs w:val="false"/>
          <w:sz w:val="24"/>
        </w:rPr>
      </w:pPr>
      <w:r>
        <w:rPr>
          <w:rFonts w:cs="Times New Roman" w:ascii="Times New Roman" w:hAnsi="Times New Roman"/>
          <w:i w:val="false"/>
          <w:iCs w:val="false"/>
          <w:sz w:val="24"/>
        </w:rPr>
        <w:t>Robust Retail Market and Demand Response</w:t>
      </w:r>
    </w:p>
    <w:p>
      <w:pPr>
        <w:pStyle w:val="Normal"/>
        <w:ind w:firstLine="710" w:end="0"/>
        <w:rPr/>
      </w:pPr>
      <w:r>
        <w:rPr/>
        <w:t>IEP agrees with the Staff Report and many other parties that a significant portion of California’s woes come from aspects of the initial restructuring design as well as problems associated with attempts at creating a functioning competitive system at the retail level.  The current retail market design has hindered private investments and the kinds of innovation that can come from retail providers in competition with one another.  The retail market area, which is within the State’s jurisdiction, is the very place where wholesale market risk and price fluctuations can be managed, where service options can be developed and provided to customers, and where demand responsiveness can be fostered.  The types of changes at the retail level identified by the Commission, including the creation of market-based demand response options, will make tremendous strides in improving the functioning of the wholesale markets.</w:t>
      </w:r>
    </w:p>
    <w:p>
      <w:pPr>
        <w:pStyle w:val="Heading1"/>
        <w:keepNext w:val="false"/>
        <w:numPr>
          <w:ilvl w:val="0"/>
          <w:numId w:val="3"/>
        </w:numPr>
        <w:rPr>
          <w:rFonts w:ascii="Times New Roman" w:hAnsi="Times New Roman" w:cs="Times New Roman"/>
          <w:sz w:val="24"/>
        </w:rPr>
      </w:pPr>
      <w:r>
        <w:rPr>
          <w:rFonts w:cs="Times New Roman" w:ascii="Times New Roman" w:hAnsi="Times New Roman"/>
          <w:sz w:val="24"/>
        </w:rPr>
        <w:t>What FERC Can Do</w:t>
      </w:r>
    </w:p>
    <w:p>
      <w:pPr>
        <w:pStyle w:val="Normal"/>
        <w:ind w:firstLine="710" w:end="0"/>
        <w:rPr/>
      </w:pPr>
      <w:r>
        <w:rPr/>
        <w:t>IEP believes the FERC can make the greatest strides in assisting California by providing increased regulatory certainty.  A much higher level of regulatory certainty is absolutely necessary if the capital intensive investments needed in California are going to happen any time soon.  Firm, clear and unequivocal statements are needed to foster an improved regulatory environment.  For example, FERC can help via the development of criteria/guidelines for the determination of “market power” to provide the context of what constitutes “just and reasonable” rates, particularly for markets characterized by scarcity conditions.  Ambiguity from the regulators in this area will only hurt our marketplace.</w:t>
      </w:r>
    </w:p>
    <w:p>
      <w:pPr>
        <w:pStyle w:val="Normal"/>
        <w:ind w:start="720" w:end="0"/>
        <w:rPr/>
      </w:pPr>
      <w:r>
        <w:rPr/>
      </w:r>
    </w:p>
    <w:p>
      <w:pPr>
        <w:pStyle w:val="Normal"/>
        <w:ind w:firstLine="720" w:end="0"/>
        <w:rPr/>
      </w:pPr>
      <w:r>
        <w:rPr/>
        <w:t>The mandate to create truly Independent Boards for FERC jurisdictional transmission operators such as the ISO is very important, and the approach taken in the Order will help move away from gridlock and politicization toward an organization that can develop and implement functional market mechanisms in relatively short-order.</w:t>
      </w:r>
    </w:p>
    <w:p>
      <w:pPr>
        <w:pStyle w:val="Normal"/>
        <w:rPr/>
      </w:pPr>
      <w:r>
        <w:rPr/>
      </w:r>
    </w:p>
    <w:p>
      <w:pPr>
        <w:pStyle w:val="Normal"/>
        <w:ind w:firstLine="720" w:end="0"/>
        <w:rPr/>
      </w:pPr>
      <w:r>
        <w:rPr/>
        <w:t xml:space="preserve">There is a real need—if FERC goes in this direction—to establish a clear timeframe for imposition of any “transitional periods” deemed necessary to fix the market structure, coupled with incentives/disincentives to achieve reforms within that timeframe.  Otherwise some interests could have the incentive to slow needed reforms.  </w:t>
      </w:r>
    </w:p>
    <w:p>
      <w:pPr>
        <w:pStyle w:val="Heading1"/>
        <w:numPr>
          <w:ilvl w:val="0"/>
          <w:numId w:val="3"/>
        </w:numPr>
        <w:ind w:hanging="720" w:start="706" w:end="0"/>
        <w:rPr>
          <w:rFonts w:ascii="Times New Roman" w:hAnsi="Times New Roman" w:cs="Times New Roman"/>
          <w:sz w:val="24"/>
        </w:rPr>
      </w:pPr>
      <w:r>
        <w:rPr>
          <w:rFonts w:cs="Times New Roman" w:ascii="Times New Roman" w:hAnsi="Times New Roman"/>
          <w:sz w:val="24"/>
        </w:rPr>
        <w:t>Specific Comments on FERC Order</w:t>
      </w:r>
    </w:p>
    <w:p>
      <w:pPr>
        <w:pStyle w:val="Normal"/>
        <w:ind w:firstLine="706" w:end="0"/>
        <w:rPr/>
      </w:pPr>
      <w:r>
        <w:rPr/>
        <w:t>We want to clearly applaud the Staff Report and Portions of the Order.  IEP believes this Order represents an important and decisive step in the right direction.  While we have areas of concern, we believe the Staff report represents an outstanding and objective analysis of the problems with “market fundamentals” existing throughout the West.  The Report shows that market participants have acted within the rules, and it concurs with similar findings and conclusions reached by the ISO’s Market Surveillance Committee and the CalPX’s Market Monitoring Committee.  The Report and Order show that our market is operating in a sub-optimal manner and that its design can and should be improved.  Clearly, now is the time to move forward and get the long-term options and solutions into place to correct the market design flaws as well as the underlying state of the marketplace.</w:t>
      </w:r>
    </w:p>
    <w:p>
      <w:pPr>
        <w:pStyle w:val="Normal"/>
        <w:ind w:firstLine="720" w:end="0"/>
        <w:rPr/>
      </w:pPr>
      <w:r>
        <w:rPr/>
      </w:r>
    </w:p>
    <w:p>
      <w:pPr>
        <w:pStyle w:val="BodyTextIndent2"/>
        <w:rPr/>
      </w:pPr>
      <w:r>
        <w:rPr/>
        <w:t xml:space="preserve">We applaud the Order’s reaffirmation of FERC’s commitment to markets and market-based rate regulation.  We urge you to resist calls for re-regulation.  We also ask that you resist calls to create some type of “hybrid” regulatory system that falls somewhere between traditional cost-of-service rate regulation and market-based systems; such an approach is likely to embrace the worst of both worlds and lead to undesirable and unintended consequences.  It must be recognized that even a so-called “perfect competitive market” can produce results that are not popular.  That would have been the case this summer given the increases in fuel and other costs associated with generation.  </w:t>
      </w:r>
    </w:p>
    <w:p>
      <w:pPr>
        <w:pStyle w:val="Heading2"/>
        <w:keepNext w:val="false"/>
        <w:numPr>
          <w:ilvl w:val="0"/>
          <w:numId w:val="3"/>
        </w:numPr>
        <w:rPr>
          <w:rFonts w:ascii="Times New Roman" w:hAnsi="Times New Roman" w:cs="Times New Roman"/>
          <w:i w:val="false"/>
          <w:i w:val="false"/>
          <w:iCs w:val="false"/>
          <w:sz w:val="24"/>
        </w:rPr>
      </w:pPr>
      <w:r>
        <w:rPr>
          <w:rFonts w:cs="Times New Roman" w:ascii="Times New Roman" w:hAnsi="Times New Roman"/>
          <w:i w:val="false"/>
          <w:iCs w:val="false"/>
          <w:sz w:val="24"/>
        </w:rPr>
        <w:t>Clarifications / Modifications are Needed to the Order</w:t>
      </w:r>
    </w:p>
    <w:p>
      <w:pPr>
        <w:pStyle w:val="BodyTextIndent2"/>
        <w:ind w:firstLine="710" w:end="0"/>
        <w:rPr/>
      </w:pPr>
      <w:r>
        <w:rPr/>
        <w:t xml:space="preserve">You must make certain modifications and clarifications to the Order.  Regulatory uncertainty created by the Order can and should be addressed by FERC.  The Order creates and continues uncertainty regarding the potential for refunds, which in turn increases capital costs and decreases the likelihood of timely investments in the new resources we need today.  </w:t>
      </w:r>
    </w:p>
    <w:p>
      <w:pPr>
        <w:pStyle w:val="BodyTextIndent2"/>
        <w:ind w:firstLine="710" w:end="0"/>
        <w:rPr/>
      </w:pPr>
      <w:r>
        <w:rPr/>
      </w:r>
    </w:p>
    <w:p>
      <w:pPr>
        <w:pStyle w:val="BodyTextIndent2"/>
        <w:ind w:firstLine="710" w:end="0"/>
        <w:rPr/>
      </w:pPr>
      <w:r>
        <w:rPr/>
        <w:t>IEP believes that the suggestion of potential retroactive refunds associated with transactions prior to October 2 is not supported by the law and will undermine the types of improvements sought elsewhere in the Order.  IEP supports FERC’s analysis on this retroactive issue as described in Appendix E of the Order.  Currently, we see the threat of potential refunds beyond the 15-month statutory period refund period as questionable at best.  This proposal will create a two-year refund “cloud” over California that may impede investments in desperately needed new capacity.  If FERC decides to retain this proposal, you must explicitly state the nature of this multi-year risk and clarify that it is a temporary “transition” device only.  You must also make clear that generators selling their output under forward, bilateral arrangements will not be at risk for any subsequent transactions or resales by counterparties.</w:t>
      </w:r>
    </w:p>
    <w:p>
      <w:pPr>
        <w:pStyle w:val="BodyTextIndent2"/>
        <w:rPr/>
      </w:pPr>
      <w:r>
        <w:rPr/>
      </w:r>
    </w:p>
    <w:p>
      <w:pPr>
        <w:pStyle w:val="Normal"/>
        <w:ind w:firstLine="720" w:end="0"/>
        <w:rPr/>
      </w:pPr>
      <w:r>
        <w:rPr/>
        <w:t xml:space="preserve">Similarly, there is an unquestionable need to establish clear standards of review, including the time frame to be analyzed, for investigating allegations of abuses of market power.  It is difficult, if not impossible, for regulatory certainty to exist where the standards are not known or knowable.  We firmly believe that the refund trigger standard must be the “abuse of market power” which should be clearly defined as the manipulation of market results over a period of time. There is a real need for recognition that projects must recover their capital and fixed costs from the market revenues.  The “equitable solutions” language found in the Order only invites litigation and exacerbates uncertainty that will harm California.  Recent media accounts are replete with opinions that the language found in the Order will form the basis of litigation that we believe will mire development of real solutions.  It represents the antithesis of a legal standard of review and cannot provide the Commission or market participants with established legal principles upon which to analyze market activities and allegations of abuses.  Because of this we believe that this “equitable solutions” language should be eliminated.  </w:t>
      </w:r>
    </w:p>
    <w:p>
      <w:pPr>
        <w:pStyle w:val="Normal"/>
        <w:ind w:firstLine="720" w:end="0"/>
        <w:rPr/>
      </w:pPr>
      <w:r>
        <w:rPr/>
      </w:r>
    </w:p>
    <w:p>
      <w:pPr>
        <w:pStyle w:val="Normal"/>
        <w:ind w:firstLine="720" w:end="0"/>
        <w:rPr/>
      </w:pPr>
      <w:r>
        <w:rPr/>
        <w:t>IEP has concerns about the implementation of the “soft cap” proposal.  IEP has not and does not support price caps because it impedes the operation of the market. The Staff Report notes that caps do not work.  We are not certain that the soft cap proposal will attract new investments in supply or foster meaningful demand response—the threshold number appears too low.  The soft cap appears to have a particularly problematic impact on power marketers who make purchases for resale but who do not own the physical generation assets.  This unintended consequence must be avoided or the markets will be hobbled.  We are also concerned that the soft cap proposal may divert some of the ISO’s resources away from developing solutions to longer-run problems in terms of software modifications/development and implementation of the proposal.  Details regarding its implementation are not straightforward as currently described, and if you decide to move forward with this concept a “technical conference” will be required—at a minimum—to clarify the mechanics and to ensure that it can be done in a reasonable manner.  We will provide more comments regarding these areas in our November 22 comments.</w:t>
      </w:r>
    </w:p>
    <w:p>
      <w:pPr>
        <w:pStyle w:val="Heading1"/>
        <w:numPr>
          <w:ilvl w:val="0"/>
          <w:numId w:val="4"/>
        </w:numPr>
        <w:rPr>
          <w:rFonts w:ascii="Times New Roman" w:hAnsi="Times New Roman" w:cs="Times New Roman"/>
          <w:sz w:val="24"/>
        </w:rPr>
      </w:pPr>
      <w:r>
        <w:rPr>
          <w:rFonts w:cs="Times New Roman" w:ascii="Times New Roman" w:hAnsi="Times New Roman"/>
          <w:sz w:val="24"/>
        </w:rPr>
        <w:t>State Level Impediments Frustrate Market Self-Correction</w:t>
      </w:r>
    </w:p>
    <w:p>
      <w:pPr>
        <w:pStyle w:val="Normal"/>
        <w:ind w:firstLine="706" w:end="0"/>
        <w:rPr/>
      </w:pPr>
      <w:r>
        <w:rPr/>
        <w:t>IEP recognizes that FERC has a narrow set of issues that fall within its jurisdiction, and that the larger improvements to the markets can and must be made in areas subject to the State’s regulation.  Notwithstanding rhetoric regarding the “federalization” of California’s energy markets, the lion’s share of market design improvements can only come from State-level actions to remove impediments to new supply and to improve supply procurement strategies.  We applaud your identification of these issues and we hope that those agencies with the ability to correct those problems will do so expeditiously.  Other examples of steps that should be taken at the State level include the real streamlining of the plant siting processes, increasing the procurement flexibility for load-serving entities so that their procurement portfolios become more diversified, pushing energy conservation and allowing meaningful and robust competition in the retail commodity market.</w:t>
      </w:r>
    </w:p>
    <w:p>
      <w:pPr>
        <w:pStyle w:val="Normal"/>
        <w:ind w:firstLine="720" w:end="0"/>
        <w:rPr/>
      </w:pPr>
      <w:r>
        <w:rPr/>
      </w:r>
    </w:p>
    <w:p>
      <w:pPr>
        <w:pStyle w:val="Normal"/>
        <w:ind w:firstLine="720" w:end="0"/>
        <w:rPr/>
      </w:pPr>
      <w:r>
        <w:rPr/>
        <w:t xml:space="preserve">IEP supports FERC’s call for the removal of the so-called “Mandatory Buy / Sell” requirement, conditioned upon assurances that other retail level reforms are tied to that new flexibility and that the reforms will take place by a date certain.  Better forward contracting by the utilities is an important market improvement clearly within the jurisdiction of the State, but changes in this area must also ensure that the incumbent utilities cannot thwart development of certain other needed retail solutions, such as the creation of market-based demand responsiveness and customer choice.  </w:t>
      </w:r>
    </w:p>
    <w:p>
      <w:pPr>
        <w:pStyle w:val="Normal"/>
        <w:ind w:firstLine="710" w:end="0"/>
        <w:rPr/>
      </w:pPr>
      <w:r>
        <w:rPr/>
      </w:r>
    </w:p>
    <w:p>
      <w:pPr>
        <w:pStyle w:val="BodyTextIndent"/>
        <w:rPr/>
      </w:pPr>
      <w:r>
        <w:rPr/>
        <w:t>But removal of the Buy/Sell requirement alone is not sufficient and increased procurement flexibility for load serving entities alone is not sufficient.  Since June of this year, IEP’s members have presented offers to the utilities at competitive prices that were below the then-current price caps, but apparently regulatory concerns—namely lack of clear reasonableness review standards or the failure to gain timely advanced approval as to the reasonableness of utility actions—stalled the consummation of some deals.  (We note, however, that PG&amp;E has recently very taken steps to protect its customers and has entered a number of multi-year forward arrangements.)  Requiring a month for regulatory review of a proposed transaction will undermine the benefits of improved procurement flexibility.  State reasonableness review issues can impede execution of these forward bilateral deals, effectively creating a double bind where the consumers ultimately lose because supplies are not committed under forward arrangements.</w:t>
      </w:r>
    </w:p>
    <w:p>
      <w:pPr>
        <w:pStyle w:val="Normal"/>
        <w:ind w:firstLine="710" w:end="0"/>
        <w:rPr/>
      </w:pPr>
      <w:r>
        <w:rPr/>
      </w:r>
    </w:p>
    <w:p>
      <w:pPr>
        <w:pStyle w:val="Normal"/>
        <w:ind w:firstLine="710" w:end="0"/>
        <w:rPr/>
      </w:pPr>
      <w:r>
        <w:rPr/>
        <w:t>Development of price responsiveness and robust retail competition is essential to allow economic signals to shine throughout the region.  The surplus supply conditions assumed at the time the initial California design was crafted do not exist today.  Ultimately, consumers must recognize that the value and price of energy is impacted by region-wide conditions, including regional weather variations, hydro availability and the fact that demand has outstripped supply in a number of states.  Recognition of the seasonal value of energy is needed to spur conservation and the development of new efficient technologies, as well as innovation in the provision of services to customers and the development of new supplies.  The retail rate freeze—particularly under the current market conditions—exacerbates the types of problems identified in the Staff Report, undermines the development of price-responsive loads and is merely a political panacea which will eventually lead to higher costs for consumers.</w:t>
      </w:r>
    </w:p>
    <w:p>
      <w:pPr>
        <w:pStyle w:val="Normal"/>
        <w:rPr/>
      </w:pPr>
      <w:r>
        <w:rPr/>
      </w:r>
    </w:p>
    <w:p>
      <w:pPr>
        <w:pStyle w:val="Normal"/>
        <w:spacing w:lineRule="auto" w:line="360"/>
        <w:ind w:firstLine="720" w:end="0"/>
        <w:rPr/>
      </w:pPr>
      <w:r>
        <w:rPr/>
        <w:t xml:space="preserve">There are a number of options and solutions where the State needs to “pick up the ball” and move forward—quickly and decisively.  For example, the CPUC could: </w:t>
      </w:r>
    </w:p>
    <w:p>
      <w:pPr>
        <w:pStyle w:val="BodyTextIndent2"/>
        <w:numPr>
          <w:ilvl w:val="0"/>
          <w:numId w:val="2"/>
        </w:numPr>
        <w:rPr/>
      </w:pPr>
      <w:r>
        <w:rPr/>
        <w:t>move on issues regarding defining the role of the utilities and default providers in the restructured markets;</w:t>
      </w:r>
    </w:p>
    <w:p>
      <w:pPr>
        <w:pStyle w:val="BodyTextIndent2"/>
        <w:numPr>
          <w:ilvl w:val="0"/>
          <w:numId w:val="2"/>
        </w:numPr>
        <w:rPr/>
      </w:pPr>
      <w:r>
        <w:rPr/>
        <w:t xml:space="preserve">complete the process of rate unbundling it began in 1996.  </w:t>
      </w:r>
    </w:p>
    <w:p>
      <w:pPr>
        <w:pStyle w:val="BodyTextIndent2"/>
        <w:numPr>
          <w:ilvl w:val="0"/>
          <w:numId w:val="2"/>
        </w:numPr>
        <w:rPr/>
      </w:pPr>
      <w:r>
        <w:rPr/>
        <w:t>clarify and create some certainty regarding the reasonableness standards applicable to utility commodity procurement;</w:t>
      </w:r>
    </w:p>
    <w:p>
      <w:pPr>
        <w:pStyle w:val="BodyTextIndent2"/>
        <w:numPr>
          <w:ilvl w:val="0"/>
          <w:numId w:val="2"/>
        </w:numPr>
        <w:rPr/>
      </w:pPr>
      <w:r>
        <w:rPr/>
        <w:t xml:space="preserve">quickly complete the new investigation started last month into interruptible rates and demand responsiveness such that loads can respond before a system emergency is declared.  </w:t>
      </w:r>
    </w:p>
    <w:p>
      <w:pPr>
        <w:pStyle w:val="BodyTextIndent2"/>
        <w:ind w:hanging="0" w:start="720" w:end="0"/>
        <w:rPr/>
      </w:pPr>
      <w:r>
        <w:rPr/>
      </w:r>
    </w:p>
    <w:p>
      <w:pPr>
        <w:pStyle w:val="BodyTextIndent2"/>
        <w:ind w:firstLine="710" w:end="0"/>
        <w:rPr/>
      </w:pPr>
      <w:r>
        <w:rPr/>
        <w:t xml:space="preserve">The CPUC has before it a number of pending applications regarding transmission projects, and just last week began a new proceeding, expected to take months to complete, that will “review” the ISO’s efforts to secure peaking resources needed by the State in approximately 210 days.  Together with the EOB, the CPUC could instead decide that the risk of not having peaking plants in place for next summer—and the associated risk of a large system blackout—far exceeds the potential costs under the ISO’s peaker program.  </w:t>
      </w:r>
    </w:p>
    <w:p>
      <w:pPr>
        <w:pStyle w:val="Heading1"/>
        <w:numPr>
          <w:ilvl w:val="0"/>
          <w:numId w:val="3"/>
        </w:numPr>
        <w:rPr>
          <w:rFonts w:ascii="Times New Roman" w:hAnsi="Times New Roman" w:cs="Times New Roman"/>
          <w:sz w:val="24"/>
        </w:rPr>
      </w:pPr>
      <w:r>
        <w:rPr>
          <w:rFonts w:cs="Times New Roman" w:ascii="Times New Roman" w:hAnsi="Times New Roman"/>
          <w:sz w:val="24"/>
        </w:rPr>
        <w:t>It is Critical to Move Forward to Solve These Problems</w:t>
      </w:r>
    </w:p>
    <w:p>
      <w:pPr>
        <w:pStyle w:val="Normal"/>
        <w:ind w:firstLine="710" w:end="0"/>
        <w:rPr/>
      </w:pPr>
      <w:r>
        <w:rPr/>
        <w:t>It must be repeated that time is of the essence.  Summer will not wait for the resources and other options to be in place.  The Staff Report shows that the West as a whole—and California in particular—is extremely sensitive to weather-induced demand.  The peak season will be here in about 210 days, and that fact cannot be mitigated or legislated away.  WSCC reserves margins continue to be short and are not projected to improve without decisive steps now.  The real costs associated with a local or regional blackout will be extensive.  Action must happen now to provide the possibility that at least some new resources can be in place this summer; any additional delays will ensure that they are not.</w:t>
      </w:r>
    </w:p>
    <w:p>
      <w:pPr>
        <w:pStyle w:val="Normal"/>
        <w:ind w:firstLine="710" w:end="0"/>
        <w:rPr/>
      </w:pPr>
      <w:r>
        <w:rPr/>
      </w:r>
    </w:p>
    <w:p>
      <w:pPr>
        <w:pStyle w:val="Normal"/>
        <w:ind w:firstLine="710" w:end="0"/>
        <w:rPr>
          <w:sz w:val="12"/>
        </w:rPr>
      </w:pPr>
      <w:r>
        <w:rPr>
          <w:sz w:val="12"/>
        </w:rPr>
        <w:fldChar w:fldCharType="begin"/>
      </w:r>
      <w:r>
        <w:rPr>
          <w:sz w:val="12"/>
        </w:rPr>
        <w:instrText xml:space="preserve"> FILENAME </w:instrText>
      </w:r>
      <w:r>
        <w:rPr>
          <w:sz w:val="12"/>
        </w:rPr>
        <w:fldChar w:fldCharType="separate"/>
      </w:r>
      <w:r>
        <w:rPr>
          <w:sz w:val="12"/>
        </w:rPr>
        <w:t>001109_Statement_of_Jan_Smutny..text.doc</w:t>
      </w:r>
      <w:r>
        <w:rPr>
          <w:sz w:val="12"/>
        </w:rPr>
        <w:fldChar w:fldCharType="end"/>
      </w:r>
    </w:p>
    <w:sectPr>
      <w:headerReference w:type="default" r:id="rId2"/>
      <w:headerReference w:type="first" r:id="rId3"/>
      <w:type w:val="nextPage"/>
      <w:pgSz w:w="12240" w:h="15840"/>
      <w:pgMar w:left="1296" w:right="1287" w:gutter="0" w:header="720" w:top="1440" w:footer="0" w:bottom="1080"/>
      <w:pgNumType w:fmt="decimal"/>
      <w:formProt w:val="false"/>
      <w:titlePg/>
      <w:textDirection w:val="lrTb"/>
      <w:docGrid w:type="default" w:linePitch="9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Statement of Jan Smutny-Jones,</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5</w:t>
    </w:r>
    <w:r>
      <w:rPr>
        <w:rStyle w:val="PageNumber"/>
      </w:rPr>
      <w:fldChar w:fldCharType="end"/>
    </w:r>
  </w:p>
  <w:p>
    <w:pPr>
      <w:pStyle w:val="Footer"/>
      <w:rPr/>
    </w:pPr>
    <w:r>
      <w:rPr>
        <w:rStyle w:val="PageNumber"/>
      </w:rPr>
      <w:t>Executive Director, Independent Energy Producers Association</w:t>
    </w:r>
  </w:p>
  <w:p>
    <w:pPr>
      <w:pStyle w:val="Footer"/>
      <w:rPr/>
    </w:pPr>
    <w:r>
      <w:rPr>
        <w:rStyle w:val="PageNumber"/>
      </w:rPr>
      <w:t>November 9, 2000</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isLgl/>
      <w:numFmt w:val="upperRoman"/>
      <w:lvlText w:val="%1."/>
      <w:lvlJc w:val="start"/>
      <w:pPr>
        <w:tabs>
          <w:tab w:val="num" w:pos="720"/>
        </w:tabs>
        <w:ind w:start="0" w:hanging="0"/>
      </w:pPr>
      <w:rPr/>
    </w:lvl>
    <w:lvl w:ilvl="1">
      <w:start w:val="1"/>
      <w:pStyle w:val="Heading2"/>
      <w:numFmt w:val="upperLetter"/>
      <w:lvlText w:val="%2."/>
      <w:lvlJc w:val="start"/>
      <w:pPr>
        <w:tabs>
          <w:tab w:val="num" w:pos="1080"/>
        </w:tabs>
        <w:ind w:start="720" w:hanging="0"/>
      </w:pPr>
      <w:rPr/>
    </w:lvl>
    <w:lvl w:ilvl="2">
      <w:start w:val="1"/>
      <w:pStyle w:val="Heading3"/>
      <w:numFmt w:val="decimal"/>
      <w:lvlText w:val="%3."/>
      <w:lvlJc w:val="start"/>
      <w:pPr>
        <w:tabs>
          <w:tab w:val="num" w:pos="1800"/>
        </w:tabs>
        <w:ind w:start="1440" w:hanging="0"/>
      </w:pPr>
      <w:rPr/>
    </w:lvl>
    <w:lvl w:ilvl="3">
      <w:start w:val="1"/>
      <w:pStyle w:val="Heading4"/>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2"/>
      <w:numFmt w:val="upperRoman"/>
      <w:lvlText w:val="%1."/>
      <w:lvlJc w:val="start"/>
      <w:pPr>
        <w:tabs>
          <w:tab w:val="num" w:pos="710"/>
        </w:tabs>
        <w:ind w:start="710" w:hanging="720"/>
      </w:pPr>
      <w:rPr/>
    </w:lvl>
  </w:abstractNum>
  <w:abstractNum w:abstractNumId="4">
    <w:lvl w:ilvl="0">
      <w:start w:val="6"/>
      <w:numFmt w:val="upperRoman"/>
      <w:lvlText w:val="%1."/>
      <w:lvlJc w:val="start"/>
      <w:pPr>
        <w:tabs>
          <w:tab w:val="num" w:pos="706"/>
        </w:tabs>
        <w:ind w:start="706"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10" w:start="0" w:end="0"/>
    </w:pPr>
    <w:rPr/>
  </w:style>
  <w:style w:type="paragraph" w:styleId="BodyTextIndent2">
    <w:name w:val="Body Text Indent 2"/>
    <w:basedOn w:val="Normal"/>
    <w:qFormat/>
    <w:pPr>
      <w:ind w:firstLine="720" w:start="0" w:end="0"/>
    </w:pPr>
    <w:rPr/>
  </w:style>
  <w:style w:type="paragraph" w:styleId="BodyTextIndent3">
    <w:name w:val="Body Text Indent 3"/>
    <w:basedOn w:val="Normal"/>
    <w:qFormat/>
    <w:pPr>
      <w:ind w:hanging="355" w:start="1065"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2000-11-09T00:42:00Z</dcterms:created>
  <dc:creator>Bill Clinton</dc:creator>
  <dc:description/>
  <dc:language>en-CA</dc:language>
  <cp:lastModifiedBy>Andrew Brown</cp:lastModifiedBy>
  <cp:lastPrinted>2000-11-08T18:34:00Z</cp:lastPrinted>
  <dcterms:modified xsi:type="dcterms:W3CDTF">2000-11-09T00:51:00Z</dcterms:modified>
  <cp:revision>4</cp:revision>
  <dc:subject/>
  <dc:title>Statement of Jan Smutny-Jones, </dc:title>
</cp:coreProperties>
</file>