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pPr>
      <w:r>
        <w:fldChar w:fldCharType="begin"/>
      </w:r>
      <w:r>
        <w:rPr/>
        <w:instrText xml:space="preserve">ADVANCE \y 144</w:instrText>
      </w:r>
      <w:r>
        <w:rPr/>
      </w:r>
      <w:r>
        <w:rPr/>
        <w:fldChar w:fldCharType="separate"/>
      </w:r>
      <w:r>
        <w:rPr/>
      </w:r>
      <w:r>
        <w:rPr/>
      </w:r>
      <w:r>
        <w:rPr/>
        <w:fldChar w:fldCharType="end"/>
      </w:r>
      <w:r>
        <w:rPr>
          <w:b/>
        </w:rPr>
        <w:t>CONFIDENTIAL AND PRIVILEGED ATTORNEY-CLIENT COMMUNICATION</w:t>
      </w:r>
    </w:p>
    <w:p>
      <w:pPr>
        <w:pStyle w:val="Normal"/>
        <w:jc w:val="center"/>
        <w:rPr/>
      </w:pPr>
      <w:r>
        <w:rPr/>
      </w:r>
    </w:p>
    <w:p>
      <w:pPr>
        <w:pStyle w:val="Normal"/>
        <w:jc w:val="center"/>
        <w:rPr>
          <w:spacing w:val="40"/>
        </w:rPr>
      </w:pPr>
      <w:r>
        <w:rPr>
          <w:b/>
          <w:smallCaps/>
          <w:spacing w:val="40"/>
          <w:sz w:val="40"/>
        </w:rPr>
        <w:t>Memorandum</w:t>
      </w:r>
    </w:p>
    <w:p>
      <w:pPr>
        <w:pStyle w:val="Normal"/>
        <w:rPr>
          <w:spacing w:val="40"/>
        </w:rPr>
      </w:pPr>
      <w:r>
        <w:rPr>
          <w:spacing w:val="40"/>
        </w:rPr>
      </w:r>
    </w:p>
    <w:p>
      <w:pPr>
        <w:pStyle w:val="Normal"/>
        <w:rPr/>
      </w:pPr>
      <w:r>
        <w:rPr/>
      </w:r>
    </w:p>
    <w:p>
      <w:pPr>
        <w:pStyle w:val="Normal"/>
        <w:tabs>
          <w:tab w:val="left" w:pos="720" w:leader="none"/>
          <w:tab w:val="left" w:pos="1440" w:leader="none"/>
        </w:tabs>
        <w:ind w:hanging="1440" w:start="1440" w:end="0"/>
        <w:rPr/>
      </w:pPr>
      <w:r>
        <w:rPr/>
        <w:t>TO:</w:t>
        <w:tab/>
        <w:tab/>
        <w:t>Jan Smutny-Jones</w:t>
      </w:r>
    </w:p>
    <w:p>
      <w:pPr>
        <w:pStyle w:val="Normal"/>
        <w:tabs>
          <w:tab w:val="left" w:pos="720" w:leader="none"/>
          <w:tab w:val="left" w:pos="1440" w:leader="none"/>
        </w:tabs>
        <w:ind w:hanging="1440" w:start="1440" w:end="0"/>
        <w:rPr/>
      </w:pPr>
      <w:r>
        <w:rPr/>
        <w:tab/>
        <w:tab/>
        <w:t>Steven Kelly</w:t>
      </w:r>
    </w:p>
    <w:p>
      <w:pPr>
        <w:pStyle w:val="Normal"/>
        <w:tabs>
          <w:tab w:val="left" w:pos="720" w:leader="none"/>
          <w:tab w:val="left" w:pos="1440" w:leader="none"/>
        </w:tabs>
        <w:ind w:hanging="1440" w:start="1440" w:end="0"/>
        <w:rPr/>
      </w:pPr>
      <w:r>
        <w:rPr/>
        <w:tab/>
        <w:tab/>
        <w:t>Katie Kaplan</w:t>
      </w:r>
    </w:p>
    <w:p>
      <w:pPr>
        <w:pStyle w:val="Normal"/>
        <w:tabs>
          <w:tab w:val="left" w:pos="720" w:leader="none"/>
          <w:tab w:val="left" w:pos="1440" w:leader="none"/>
        </w:tabs>
        <w:ind w:hanging="1440" w:start="1440" w:end="0"/>
        <w:rPr/>
      </w:pPr>
      <w:r>
        <w:rPr/>
        <w:tab/>
        <w:t>cc:</w:t>
        <w:tab/>
        <w:t>Doug Kerner</w:t>
      </w:r>
    </w:p>
    <w:p>
      <w:pPr>
        <w:pStyle w:val="Normal"/>
        <w:tabs>
          <w:tab w:val="left" w:pos="720" w:leader="none"/>
          <w:tab w:val="left" w:pos="1440" w:leader="none"/>
        </w:tabs>
        <w:ind w:hanging="1440" w:start="1440" w:end="0"/>
        <w:rPr/>
      </w:pPr>
      <w:r>
        <w:rPr/>
        <w:tab/>
        <w:tab/>
        <w:t>Bob Wiesenmiller</w:t>
      </w:r>
    </w:p>
    <w:p>
      <w:pPr>
        <w:pStyle w:val="Normal"/>
        <w:tabs>
          <w:tab w:val="left" w:pos="720" w:leader="none"/>
          <w:tab w:val="left" w:pos="1440" w:leader="none"/>
        </w:tabs>
        <w:ind w:hanging="1440" w:start="1440" w:end="0"/>
        <w:rPr/>
      </w:pPr>
      <w:r>
        <w:rPr/>
        <w:tab/>
        <w:tab/>
        <w:t>Mark Fulmer</w:t>
      </w:r>
    </w:p>
    <w:p>
      <w:pPr>
        <w:pStyle w:val="Normal"/>
        <w:rPr/>
      </w:pPr>
      <w:r>
        <w:rPr/>
      </w:r>
    </w:p>
    <w:p>
      <w:pPr>
        <w:pStyle w:val="Normal"/>
        <w:tabs>
          <w:tab w:val="left" w:pos="720" w:leader="none"/>
          <w:tab w:val="left" w:pos="1440" w:leader="none"/>
        </w:tabs>
        <w:ind w:hanging="1440" w:start="1440" w:end="0"/>
        <w:rPr/>
      </w:pPr>
      <w:r>
        <w:rPr/>
        <w:t>FROM:</w:t>
        <w:tab/>
        <w:t>Andy Brown</w:t>
      </w:r>
    </w:p>
    <w:p>
      <w:pPr>
        <w:pStyle w:val="Normal"/>
        <w:rPr/>
      </w:pPr>
      <w:r>
        <w:rPr/>
      </w:r>
    </w:p>
    <w:p>
      <w:pPr>
        <w:pStyle w:val="Normal"/>
        <w:tabs>
          <w:tab w:val="left" w:pos="720" w:leader="none"/>
          <w:tab w:val="left" w:pos="1440" w:leader="none"/>
        </w:tabs>
        <w:ind w:hanging="1440" w:start="1440" w:end="0"/>
        <w:rPr/>
      </w:pPr>
      <w:r>
        <w:rPr/>
        <w:t>RE:</w:t>
        <w:tab/>
        <w:tab/>
        <w:t>IEP Market Response: Development of Options and Solutions</w:t>
      </w:r>
    </w:p>
    <w:p>
      <w:pPr>
        <w:pStyle w:val="Normal"/>
        <w:rPr/>
      </w:pPr>
      <w:r>
        <w:rPr/>
      </w:r>
    </w:p>
    <w:p>
      <w:pPr>
        <w:pStyle w:val="Normal"/>
        <w:rPr/>
      </w:pPr>
      <w:r>
        <w:rPr/>
        <w:t>DATE:</w:t>
        <w:tab/>
        <w:tab/>
        <w:t>November 1, 2000</w: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2">
                <wp:simplePos x="0" y="0"/>
                <wp:positionH relativeFrom="column">
                  <wp:posOffset>-2540</wp:posOffset>
                </wp:positionH>
                <wp:positionV relativeFrom="paragraph">
                  <wp:posOffset>81280</wp:posOffset>
                </wp:positionV>
                <wp:extent cx="5394960" cy="0"/>
                <wp:effectExtent l="0" t="5080" r="0" b="5080"/>
                <wp:wrapNone/>
                <wp:docPr id="1" name=""/>
                <a:graphic xmlns:a="http://schemas.openxmlformats.org/drawingml/2006/main">
                  <a:graphicData uri="http://schemas.microsoft.com/office/word/2010/wordprocessingShape">
                    <wps:wsp>
                      <wps:cNvSpPr/>
                      <wps:spPr>
                        <a:xfrm>
                          <a:off x="0" y="0"/>
                          <a:ext cx="5394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2pt,6.4pt" to="424.55pt,6.4pt" stroked="t" o:allowincell="f" style="position:absolute">
                <v:stroke color="black" weight="9360" joinstyle="miter" endcap="flat"/>
                <v:fill o:detectmouseclick="t" on="false"/>
                <w10:wrap type="none"/>
              </v:line>
            </w:pict>
          </mc:Fallback>
        </mc:AlternateContent>
      </w:r>
    </w:p>
    <w:p>
      <w:pPr>
        <w:pStyle w:val="Normal"/>
        <w:rPr/>
      </w:pPr>
      <w:r>
        <w:rPr/>
      </w:r>
    </w:p>
    <w:p>
      <w:pPr>
        <w:pStyle w:val="Normal"/>
        <w:rPr/>
      </w:pPr>
      <w:r>
        <w:rPr/>
        <w:tab/>
        <w:t xml:space="preserve">The purposes of this memorandum is to assist the Independent Energy Producers Association’ (“IEP”) development of “options and solutions” that will be used in the coming months.  Below you will find a detailed outline that should help IEP create a coherent package of proposals for the upcoming Federal Energy Regulatory Commission (“FERC” or “Commission”) meetings and filings, as well as for some California Public Utilities Commission (“CPUC”) activities and new legislative efforts.  </w:t>
      </w:r>
    </w:p>
    <w:p>
      <w:pPr>
        <w:pStyle w:val="Normal"/>
        <w:rPr/>
      </w:pPr>
      <w:r>
        <w:rPr/>
      </w:r>
    </w:p>
    <w:p>
      <w:pPr>
        <w:pStyle w:val="Normal"/>
        <w:ind w:firstLine="720" w:end="0"/>
        <w:rPr/>
      </w:pPr>
      <w:r>
        <w:rPr/>
        <w:t xml:space="preserve">The detailed outline below builds off of the initial skeletal outline provided in an October 26 memorandum concerning recent filings at FERC, as well as materials and presentations developed by individual members.  This “work in progress” was developed prior to the recent FERC action, and will be modified according to our discussions on November 3, as well as in like of the November 1 FERC Order.  FERC has made clear that there will be a “one-shot paper hearing” and that commenting parties will need to cite or provide robust references if the Commission is to be convinced to undertake a new or different direction. </w:t>
      </w:r>
    </w:p>
    <w:p>
      <w:pPr>
        <w:pStyle w:val="Normal"/>
        <w:ind w:firstLine="720" w:end="0"/>
        <w:rPr/>
      </w:pPr>
      <w:r>
        <w:rPr/>
      </w:r>
    </w:p>
    <w:p>
      <w:pPr>
        <w:pStyle w:val="Normal"/>
        <w:rPr>
          <w:u w:val="single"/>
        </w:rPr>
      </w:pPr>
      <w:r>
        <w:rPr>
          <w:u w:val="single"/>
        </w:rPr>
        <w:t>Overview</w:t>
      </w:r>
    </w:p>
    <w:p>
      <w:pPr>
        <w:pStyle w:val="Normal"/>
        <w:rPr>
          <w:u w:val="single"/>
        </w:rPr>
      </w:pPr>
      <w:r>
        <w:rPr>
          <w:u w:val="single"/>
        </w:rPr>
      </w:r>
    </w:p>
    <w:p>
      <w:pPr>
        <w:pStyle w:val="Normal"/>
        <w:ind w:firstLine="720" w:end="0"/>
        <w:rPr/>
      </w:pPr>
      <w:r>
        <w:rPr/>
        <w:t>The outline begins with a discussion of the “jurisdictional context” that must be kept in mind when developing IEP’s response, including the regional/interstate nature of the Western markets and the respective roles of FERC and the CPUC.  The second section is the largest part of the outline, and it discusses in detail the “problems” IEP’s response addresses, primarily in terms of “marketplace fundamentals” as well as market structure issues.  IEP’s membership is extremely well versed in the myriad of problems facing the industry, but nevertheless it is vitally important to discuss and agree on specifics so that our options and solutions can be presented as a durable, comprehensive and cohesive message.  The outline’s fourth section discusses certain characteristics or perspectives that must be considered when crafting our response, such as the relationship between retail and wholesale markets as well as the larger regional markets.  Potential short- and long-term responses are presented in the next two sections, and the outline concludes with potential IEP “retail/demand” proposal.</w:t>
      </w:r>
    </w:p>
    <w:p>
      <w:pPr>
        <w:pStyle w:val="Normal"/>
        <w:ind w:firstLine="720" w:end="0"/>
        <w:rPr/>
      </w:pPr>
      <w:r>
        <w:rPr/>
      </w:r>
    </w:p>
    <w:p>
      <w:pPr>
        <w:pStyle w:val="Normal"/>
        <w:rPr>
          <w:u w:val="single"/>
        </w:rPr>
      </w:pPr>
      <w:r>
        <w:rPr>
          <w:u w:val="single"/>
        </w:rPr>
        <w:t>Next Steps</w:t>
      </w:r>
    </w:p>
    <w:p>
      <w:pPr>
        <w:pStyle w:val="Normal"/>
        <w:rPr>
          <w:u w:val="single"/>
        </w:rPr>
      </w:pPr>
      <w:r>
        <w:rPr>
          <w:u w:val="single"/>
        </w:rPr>
      </w:r>
    </w:p>
    <w:p>
      <w:pPr>
        <w:pStyle w:val="Normal"/>
        <w:rPr/>
      </w:pPr>
      <w:r>
        <w:rPr/>
        <w:tab/>
        <w:t xml:space="preserve">We have used various materials to shape this initial effort, but obviously the latest FERC release may eclipse some of these materials and the concepts outlined below.  IEP is in the process of digesting the latest materials and expects to have some thoughts developed for discussion during the November 3 meeting.  This is work in progress is intended as a sounding board and an initial set of options and solutions, but time is of the essence.  Following the discussions on November 3, IEP will prepare a more refined presentation of its regulatory and legislative ideas, along with talking points to be used at the November 9 FERC meeting.  IEP members should forward any additional materials for discussion and potential inclusion as support for arguments and comments in IEP’s November 22 response to the FERC Order as soon as practicable.  </w:t>
      </w:r>
      <w:r>
        <w:br w:type="page"/>
      </w:r>
    </w:p>
    <w:p>
      <w:pPr>
        <w:pStyle w:val="Normal"/>
        <w:rPr/>
      </w:pPr>
      <w:r>
        <w:rPr/>
      </w:r>
    </w:p>
    <w:p>
      <w:pPr>
        <w:pStyle w:val="Normal"/>
        <w:rPr/>
      </w:pPr>
      <w:r>
        <w:rPr/>
      </w:r>
    </w:p>
    <w:p>
      <w:pPr>
        <w:pStyle w:val="Heading1"/>
        <w:keepNext w:val="false"/>
        <w:ind w:hanging="0" w:start="0"/>
        <w:rPr/>
      </w:pPr>
      <w:r>
        <w:rPr/>
        <w:t>Jurisdictional Context: Where To Look To Get Things Done</w:t>
      </w:r>
    </w:p>
    <w:p>
      <w:pPr>
        <w:pStyle w:val="Normal"/>
        <w:rPr/>
      </w:pPr>
      <w:r>
        <w:rPr/>
      </w:r>
    </w:p>
    <w:p>
      <w:pPr>
        <w:pStyle w:val="Heading2"/>
        <w:keepNext w:val="false"/>
        <w:ind w:hanging="0" w:start="0"/>
        <w:rPr>
          <w:i w:val="false"/>
          <w:i w:val="false"/>
          <w:iCs w:val="false"/>
        </w:rPr>
      </w:pPr>
      <w:r>
        <w:rPr>
          <w:b/>
          <w:bCs/>
        </w:rPr>
        <w:t>Interrelated Regional Market</w:t>
      </w:r>
      <w:r>
        <w:rPr>
          <w:i w:val="false"/>
          <w:iCs w:val="false"/>
        </w:rPr>
        <w:t>:  Any efforts to improve the operation of the electric system in California must recognized the interrelated nature of the wholesale and retail markets, and the interrelationship between matters subject to State jurisdiction and those subject to Federal jurisdiction.</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sz w:val="24"/>
        </w:rPr>
        <w:t xml:space="preserve">Much of the efforts to date have been undertaken in relative isolation.  </w:t>
      </w:r>
      <w:r>
        <w:rPr>
          <w:rFonts w:cs="Times New Roman" w:ascii="Times New Roman" w:hAnsi="Times New Roman"/>
          <w:b w:val="false"/>
          <w:bCs w:val="false"/>
          <w:sz w:val="24"/>
        </w:rPr>
        <w:t>“Wholesale” issues were addressed in CAISO stakeholder meetings and FERC proceedings.  “Retail” issues were addressed at the CPUC.  Rarely, if at all, were the policy developments in one arena coordinated with issues or activities in the other.  For example, last year in the CPUC’s “post-transition ratemaking” case, the utilities were stressing their use of the realtime markets and the arbitrage of purchases from the CalPX and CAISO while the CAISO was seeking to minimize the use of the realtime market.  Hence the creation of the retail “Schedule PX” and the residual calculation of Competition Transition Charges from a fixed retail commodity rate drove the wholesale purchasing activities of the utilities.</w:t>
      </w:r>
    </w:p>
    <w:p>
      <w:pPr>
        <w:pStyle w:val="Normal"/>
        <w:rPr>
          <w:rFonts w:ascii="Times New Roman" w:hAnsi="Times New Roman" w:cs="Times New Roman"/>
          <w:b/>
          <w:bCs/>
          <w:sz w:val="24"/>
        </w:rPr>
      </w:pPr>
      <w:r>
        <w:rPr>
          <w:rFonts w:cs="Times New Roman"/>
          <w:b/>
          <w:bCs/>
          <w:sz w:val="24"/>
        </w:rPr>
      </w:r>
    </w:p>
    <w:p>
      <w:pPr>
        <w:pStyle w:val="Heading2"/>
        <w:keepNext w:val="false"/>
        <w:ind w:hanging="0" w:start="0"/>
        <w:rPr>
          <w:i w:val="false"/>
          <w:i w:val="false"/>
          <w:iCs w:val="false"/>
        </w:rPr>
      </w:pPr>
      <w:r>
        <w:rPr>
          <w:b/>
          <w:bCs/>
        </w:rPr>
        <w:t>FERC Jurisdiction:</w:t>
      </w:r>
      <w:r>
        <w:rPr>
          <w:i w:val="false"/>
          <w:iCs w:val="false"/>
        </w:rPr>
        <w:t xml:space="preserve">  “Wholesale” and “Interstate” issues are primarily in the regulatory domain of the Federal Government and the parties subject to FERC’s jurisdiction. </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 xml:space="preserve">FERC regulation of CAISO, Sellers, etc.:  </w:t>
      </w:r>
      <w:r>
        <w:rPr>
          <w:rFonts w:cs="Times New Roman" w:ascii="Times New Roman" w:hAnsi="Times New Roman"/>
          <w:b w:val="false"/>
          <w:bCs w:val="false"/>
          <w:sz w:val="24"/>
        </w:rPr>
        <w:t>Changes to wholesale market rules in terms of CAISO and CalPX tariffs, as well as seller’s tariffs, must ultimately be addressed at FERC.  However, many of the so-called “wholesale problems” ultimately are driven by policies instituted and controlled at the State level, such as the recovery of so-called “Stranded Costs” and the design of the retail markets and retail commodity rates.</w:t>
      </w:r>
    </w:p>
    <w:p>
      <w:pPr>
        <w:pStyle w:val="Normal"/>
        <w:rPr>
          <w:rFonts w:ascii="Times New Roman" w:hAnsi="Times New Roman" w:cs="Times New Roman"/>
          <w:b/>
          <w:bCs/>
          <w:sz w:val="24"/>
        </w:rPr>
      </w:pPr>
      <w:r>
        <w:rPr>
          <w:rFonts w:cs="Times New Roman"/>
          <w:b/>
          <w:bCs/>
          <w:sz w:val="24"/>
        </w:rPr>
      </w:r>
    </w:p>
    <w:p>
      <w:pPr>
        <w:pStyle w:val="Heading2"/>
        <w:keepNext w:val="false"/>
        <w:ind w:hanging="0" w:start="0"/>
        <w:rPr>
          <w:i w:val="false"/>
          <w:i w:val="false"/>
          <w:iCs w:val="false"/>
        </w:rPr>
      </w:pPr>
      <w:r>
        <w:rPr>
          <w:b/>
          <w:bCs/>
        </w:rPr>
        <w:t>CPUC Jurisdiction:</w:t>
      </w:r>
      <w:r>
        <w:rPr>
          <w:i w:val="false"/>
          <w:iCs w:val="false"/>
        </w:rPr>
        <w:t xml:space="preserve"> “Retail” and “distribution” services and service quality are the subject of the State’s jurisdiction, principally via regulation by the CPUC.  The absence of retail competition can be directly tracked to policies associated with utility “stranded cost” recovery as well as “commodity” and “wires” rate design.  </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Improvement and development of retail competition</w:t>
      </w:r>
      <w:r>
        <w:rPr>
          <w:rFonts w:cs="Times New Roman" w:ascii="Times New Roman" w:hAnsi="Times New Roman"/>
          <w:b w:val="false"/>
          <w:bCs w:val="false"/>
          <w:sz w:val="24"/>
        </w:rPr>
        <w:t xml:space="preserve"> can help drive better operation of wholesale markets, but retail competition will not develop if CPUC rules effectively preclude significant portions of customer classes from participation.  </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w:t>
      </w:r>
      <w:r>
        <w:rPr>
          <w:rFonts w:cs="Times New Roman" w:ascii="Times New Roman" w:hAnsi="Times New Roman"/>
          <w:b w:val="false"/>
          <w:bCs w:val="false"/>
          <w:i/>
          <w:iCs/>
          <w:sz w:val="24"/>
        </w:rPr>
        <w:t>Demand Responsiveness”</w:t>
      </w:r>
      <w:r>
        <w:rPr>
          <w:rFonts w:cs="Times New Roman" w:ascii="Times New Roman" w:hAnsi="Times New Roman"/>
          <w:b w:val="false"/>
          <w:bCs w:val="false"/>
          <w:sz w:val="24"/>
        </w:rPr>
        <w:t>—one of the market attributes considered critical by many—is best developed through the aggregation of responses at the retail level.  Creation of such a response cannot easily occur if retail commodity costs provide poor signals regarding the value of energy at any given time or over time.</w:t>
      </w:r>
    </w:p>
    <w:p>
      <w:pPr>
        <w:pStyle w:val="Heading2"/>
        <w:keepNext w:val="false"/>
        <w:numPr>
          <w:ilvl w:val="0"/>
          <w:numId w:val="0"/>
        </w:numPr>
        <w:ind w:hanging="0" w:start="720" w:end="0"/>
        <w:rPr>
          <w:rFonts w:ascii="Times New Roman" w:hAnsi="Times New Roman" w:cs="Times New Roman"/>
          <w:b/>
          <w:bCs/>
          <w:i w:val="false"/>
          <w:i w:val="false"/>
          <w:iCs w:val="false"/>
          <w:sz w:val="24"/>
        </w:rPr>
      </w:pPr>
      <w:r>
        <w:rPr>
          <w:rFonts w:cs="Times New Roman"/>
          <w:b/>
          <w:bCs/>
          <w:i w:val="false"/>
          <w:iCs w:val="false"/>
          <w:sz w:val="24"/>
        </w:rPr>
      </w:r>
    </w:p>
    <w:p>
      <w:pPr>
        <w:pStyle w:val="Heading2"/>
        <w:keepNext w:val="false"/>
        <w:ind w:hanging="0" w:start="0"/>
        <w:rPr>
          <w:i w:val="false"/>
          <w:i w:val="false"/>
          <w:iCs w:val="false"/>
        </w:rPr>
      </w:pPr>
      <w:r>
        <w:rPr>
          <w:b/>
          <w:bCs/>
        </w:rPr>
        <w:t>California’s Position in the West</w:t>
      </w:r>
      <w:r>
        <w:rPr>
          <w:i w:val="false"/>
          <w:iCs w:val="false"/>
        </w:rPr>
        <w:t>:  California is part of a larger “Western Interconnection” which has experienced similar “fundamentals” issues that should not be ignored, including loss of regional supply surpluses, significant load growth and price increases.</w:t>
      </w:r>
    </w:p>
    <w:p>
      <w:pPr>
        <w:pStyle w:val="Heading2"/>
        <w:keepNext w:val="false"/>
        <w:numPr>
          <w:ilvl w:val="0"/>
          <w:numId w:val="0"/>
        </w:numPr>
        <w:ind w:hanging="0" w:start="720" w:end="0"/>
        <w:rPr>
          <w:i w:val="false"/>
          <w:i w:val="false"/>
          <w:iCs w:val="false"/>
        </w:rPr>
      </w:pPr>
      <w:r>
        <w:rPr>
          <w:i w:val="false"/>
          <w:iCs w:val="false"/>
        </w:rPr>
      </w:r>
    </w:p>
    <w:p>
      <w:pPr>
        <w:pStyle w:val="Heading2"/>
        <w:keepNext w:val="false"/>
        <w:ind w:hanging="0" w:start="0"/>
        <w:rPr>
          <w:i w:val="false"/>
          <w:i w:val="false"/>
          <w:iCs w:val="false"/>
        </w:rPr>
      </w:pPr>
      <w:r>
        <w:rPr>
          <w:b/>
          <w:bCs/>
        </w:rPr>
        <w:t>Timeframes and Time Pressures:</w:t>
      </w:r>
      <w:r>
        <w:rPr>
          <w:i w:val="false"/>
          <w:iCs w:val="false"/>
        </w:rPr>
        <w:t xml:space="preserve">  Timing needs and time Requirements must be explicitly recognized</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 xml:space="preserve">Don’t Underestimate the Work: </w:t>
      </w:r>
      <w:r>
        <w:rPr>
          <w:rFonts w:cs="Times New Roman" w:ascii="Times New Roman" w:hAnsi="Times New Roman"/>
          <w:b w:val="false"/>
          <w:bCs w:val="false"/>
          <w:sz w:val="24"/>
        </w:rPr>
        <w:t>Underestimating development time requirements will cause larger problems.  Underestimation led to the “launch” of CAISO without certain initial market design elements;</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Identifying the Biggest and Fastest Bang:</w:t>
      </w:r>
      <w:r>
        <w:rPr>
          <w:rFonts w:cs="Times New Roman" w:ascii="Times New Roman" w:hAnsi="Times New Roman"/>
          <w:b w:val="false"/>
          <w:bCs w:val="false"/>
          <w:sz w:val="24"/>
        </w:rPr>
        <w:t xml:space="preserve">  Short run focus should be on identification of those options and solutions that can be addressed quickly and which do not require long lead times.  Some retail rate design elements, retail market options and improved utility commodity procurement portfolio diversity, could be in place soon, any may be critical if PG&amp;E and SCE end their rates freezes soon;</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Remove Roadblocks</w:t>
      </w:r>
      <w:r>
        <w:rPr>
          <w:rFonts w:cs="Times New Roman" w:ascii="Times New Roman" w:hAnsi="Times New Roman"/>
          <w:b w:val="false"/>
          <w:bCs w:val="false"/>
          <w:sz w:val="24"/>
        </w:rPr>
        <w:t>:  Obstacles causing longer lead times should be eliminated: Constructing new supply resources or significantly modifying market designs and related software requires significant lead time;</w:t>
      </w:r>
    </w:p>
    <w:p>
      <w:pPr>
        <w:pStyle w:val="Normal"/>
        <w:rPr>
          <w:rFonts w:ascii="Times New Roman" w:hAnsi="Times New Roman" w:cs="Times New Roman"/>
          <w:b/>
          <w:bCs/>
          <w:sz w:val="24"/>
        </w:rPr>
      </w:pPr>
      <w:r>
        <w:rPr>
          <w:rFonts w:cs="Times New Roman"/>
          <w:b/>
          <w:bCs/>
          <w:sz w:val="24"/>
        </w:rPr>
      </w:r>
    </w:p>
    <w:p>
      <w:pPr>
        <w:pStyle w:val="Heading1"/>
        <w:keepNext w:val="false"/>
        <w:ind w:hanging="0" w:start="0"/>
        <w:rPr/>
      </w:pPr>
      <w:r>
        <w:rPr/>
        <w:t xml:space="preserve">Problems: “Fundamentals” and Market Structure Issues </w:t>
      </w:r>
    </w:p>
    <w:p>
      <w:pPr>
        <w:pStyle w:val="Heading2"/>
        <w:numPr>
          <w:ilvl w:val="0"/>
          <w:numId w:val="0"/>
        </w:numPr>
        <w:ind w:hanging="0" w:start="720" w:end="0"/>
        <w:rPr/>
      </w:pPr>
      <w:r>
        <w:rPr/>
      </w:r>
    </w:p>
    <w:p>
      <w:pPr>
        <w:pStyle w:val="Heading2"/>
        <w:ind w:hanging="0" w:start="0"/>
        <w:rPr>
          <w:b/>
          <w:bCs/>
        </w:rPr>
      </w:pPr>
      <w:r>
        <w:rPr>
          <w:b/>
          <w:bCs/>
        </w:rPr>
        <w:t>Recognition of “Problems” is needed to craft options and solutions.</w:t>
      </w:r>
      <w:r>
        <w:rPr>
          <w:i w:val="false"/>
          <w:iCs w:val="false"/>
        </w:rPr>
        <w:t xml:space="preserve">  Identification of the nature of the problems—with recognition to various stakeholders’ perspectives—is absolutely necessary to develop the coalitions needed to develop and execute meaningful solutions.</w:t>
      </w:r>
    </w:p>
    <w:p>
      <w:pPr>
        <w:pStyle w:val="Heading2"/>
        <w:keepNext w:val="false"/>
        <w:numPr>
          <w:ilvl w:val="0"/>
          <w:numId w:val="0"/>
        </w:numPr>
        <w:ind w:hanging="0" w:start="720" w:end="0"/>
        <w:rPr>
          <w:b/>
          <w:bCs/>
          <w:i w:val="false"/>
          <w:i w:val="false"/>
          <w:iCs w:val="false"/>
        </w:rPr>
      </w:pPr>
      <w:r>
        <w:rPr>
          <w:b/>
          <w:bCs/>
          <w:i w:val="false"/>
          <w:iCs w:val="false"/>
        </w:rPr>
      </w:r>
    </w:p>
    <w:p>
      <w:pPr>
        <w:pStyle w:val="Heading2"/>
        <w:keepNext w:val="false"/>
        <w:ind w:hanging="0" w:start="0"/>
        <w:rPr>
          <w:b/>
          <w:bCs/>
        </w:rPr>
      </w:pPr>
      <w:r>
        <w:rPr>
          <w:b/>
          <w:bCs/>
        </w:rPr>
        <w:t>Supply-Demand Imbalance and Uncertainty Regarding “Responsibility”</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Not an Energy Island</w:t>
      </w:r>
      <w:r>
        <w:rPr>
          <w:rFonts w:cs="Times New Roman" w:ascii="Times New Roman" w:hAnsi="Times New Roman"/>
          <w:b w:val="false"/>
          <w:bCs w:val="false"/>
          <w:sz w:val="24"/>
        </w:rPr>
        <w:t>:  The California energy delivery system has never been self-sufficient, and regional transactions have allowed for better overall system efficiencies.  California’s supply imbalance is particularly problematic when the needed imports are not available because of regional load growth or poor hydro conditions</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Growing Pains</w:t>
      </w:r>
      <w:r>
        <w:rPr>
          <w:rFonts w:cs="Times New Roman" w:ascii="Times New Roman" w:hAnsi="Times New Roman"/>
          <w:b w:val="false"/>
          <w:bCs w:val="false"/>
          <w:sz w:val="24"/>
        </w:rPr>
        <w:t>: With economic recovery and the “new economy” has come tremendous load growth:</w:t>
      </w:r>
    </w:p>
    <w:p>
      <w:pPr>
        <w:pStyle w:val="Heading4"/>
        <w:keepNext w:val="false"/>
        <w:ind w:hanging="0" w:start="0"/>
        <w:rPr>
          <w:b w:val="false"/>
          <w:bCs w:val="false"/>
          <w:sz w:val="24"/>
        </w:rPr>
      </w:pPr>
      <w:r>
        <w:rPr>
          <w:b w:val="false"/>
          <w:bCs w:val="false"/>
          <w:sz w:val="24"/>
        </w:rPr>
        <w:t>CEC numbers? in terms of past and current projections of load growth;</w:t>
      </w:r>
    </w:p>
    <w:p>
      <w:pPr>
        <w:pStyle w:val="Heading4"/>
        <w:keepNext w:val="false"/>
        <w:ind w:hanging="0" w:start="0"/>
        <w:rPr>
          <w:b w:val="false"/>
          <w:bCs w:val="false"/>
          <w:sz w:val="24"/>
        </w:rPr>
      </w:pPr>
      <w:r>
        <w:rPr>
          <w:b w:val="false"/>
          <w:bCs w:val="false"/>
          <w:sz w:val="24"/>
        </w:rPr>
        <w:t>PG&amp;E GRC discussion re being “caught by surprise” at the distribution circuit level (show that “wires” side is also part of the “infrastructure shortfall”).  Similar discussion is needed for transmission needs such as San Diego and Bay Area.</w:t>
      </w:r>
    </w:p>
    <w:p>
      <w:pPr>
        <w:pStyle w:val="Heading4"/>
        <w:keepNext w:val="false"/>
        <w:ind w:hanging="0" w:start="0"/>
        <w:rPr>
          <w:b w:val="false"/>
          <w:bCs w:val="false"/>
          <w:sz w:val="24"/>
        </w:rPr>
      </w:pPr>
      <w:r>
        <w:rPr>
          <w:b w:val="false"/>
          <w:bCs w:val="false"/>
          <w:sz w:val="24"/>
        </w:rPr>
        <w:t>CAISO/CalPX September 12 Hearing Data re increased load in relatively cooler year,  “Internet demand” and other fundamentals associated with growth.</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The Aged Fleet</w:t>
      </w:r>
      <w:r>
        <w:rPr>
          <w:rFonts w:cs="Times New Roman" w:ascii="Times New Roman" w:hAnsi="Times New Roman"/>
          <w:b w:val="false"/>
          <w:bCs w:val="false"/>
          <w:sz w:val="24"/>
        </w:rPr>
        <w:t>: The existing supply fleet is old, relatively inefficient and dirty, and the environmental benefits of displacement is frustrated by the need for their capacity.</w:t>
      </w:r>
    </w:p>
    <w:p>
      <w:pPr>
        <w:pStyle w:val="Heading4"/>
        <w:keepNext w:val="false"/>
        <w:ind w:hanging="0" w:start="0"/>
        <w:rPr>
          <w:b w:val="false"/>
          <w:bCs w:val="false"/>
          <w:sz w:val="24"/>
        </w:rPr>
      </w:pPr>
      <w:r>
        <w:rPr>
          <w:b w:val="false"/>
          <w:bCs w:val="false"/>
          <w:sz w:val="24"/>
        </w:rPr>
        <w:t>“</w:t>
      </w:r>
      <w:r>
        <w:rPr>
          <w:b w:val="false"/>
          <w:bCs w:val="false"/>
          <w:sz w:val="24"/>
        </w:rPr>
        <w:t>Over two-thirds of the state’s generation capacity is 25 years old or older (Menlo p 13)</w:t>
      </w:r>
    </w:p>
    <w:p>
      <w:pPr>
        <w:pStyle w:val="Heading4"/>
        <w:keepNext w:val="false"/>
        <w:ind w:hanging="0" w:start="0"/>
        <w:rPr>
          <w:b w:val="false"/>
          <w:bCs w:val="false"/>
          <w:sz w:val="24"/>
        </w:rPr>
      </w:pPr>
      <w:r>
        <w:rPr>
          <w:b w:val="false"/>
          <w:bCs w:val="false"/>
          <w:sz w:val="24"/>
        </w:rPr>
        <w:t>Fuel Consumption and fuel price escalation means higher prices;</w:t>
      </w:r>
    </w:p>
    <w:p>
      <w:pPr>
        <w:pStyle w:val="Heading4"/>
        <w:keepNext w:val="false"/>
        <w:ind w:hanging="0" w:start="0"/>
        <w:rPr>
          <w:b w:val="false"/>
          <w:bCs w:val="false"/>
          <w:sz w:val="24"/>
        </w:rPr>
      </w:pPr>
      <w:r>
        <w:rPr>
          <w:b w:val="false"/>
          <w:bCs w:val="false"/>
          <w:sz w:val="24"/>
        </w:rPr>
        <w:t>Increased O&amp;M from elevated operations means higher prices;</w:t>
      </w:r>
    </w:p>
    <w:p>
      <w:pPr>
        <w:pStyle w:val="Heading4"/>
        <w:keepNext w:val="false"/>
        <w:ind w:hanging="0" w:start="0"/>
        <w:rPr>
          <w:b w:val="false"/>
          <w:bCs w:val="false"/>
          <w:sz w:val="24"/>
        </w:rPr>
      </w:pPr>
      <w:r>
        <w:rPr>
          <w:b w:val="false"/>
          <w:bCs w:val="false"/>
          <w:sz w:val="24"/>
        </w:rPr>
        <w:t xml:space="preserve">Air emissions cost issues: offset purchases in So Cal, etc. mean higher prices for capacity in specific locations; </w:t>
      </w:r>
    </w:p>
    <w:p>
      <w:pPr>
        <w:pStyle w:val="Heading4"/>
        <w:keepNext w:val="false"/>
        <w:ind w:hanging="0" w:start="0"/>
        <w:rPr>
          <w:b w:val="false"/>
          <w:bCs w:val="false"/>
          <w:sz w:val="24"/>
        </w:rPr>
      </w:pPr>
      <w:r>
        <w:rPr>
          <w:b w:val="false"/>
          <w:bCs w:val="false"/>
          <w:sz w:val="24"/>
        </w:rPr>
        <w:t>Modernization requires taking plants off-line, which is problematic from a supply perspective when imports are limited and demand growth is high and there is no surplus of supply;</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Failure to Develop Needed Capacity</w:t>
      </w:r>
      <w:r>
        <w:rPr>
          <w:rFonts w:cs="Times New Roman" w:ascii="Times New Roman" w:hAnsi="Times New Roman"/>
          <w:b w:val="false"/>
          <w:bCs w:val="false"/>
          <w:sz w:val="24"/>
        </w:rPr>
        <w:t>: Little new construction in the recent past, and past decision essentially ensured insufficient supplies today.</w:t>
      </w:r>
    </w:p>
    <w:p>
      <w:pPr>
        <w:pStyle w:val="Heading4"/>
        <w:keepNext w:val="false"/>
        <w:ind w:hanging="0" w:start="0"/>
        <w:rPr>
          <w:b w:val="false"/>
          <w:bCs w:val="false"/>
          <w:sz w:val="24"/>
        </w:rPr>
      </w:pPr>
      <w:r>
        <w:rPr>
          <w:b w:val="false"/>
          <w:bCs w:val="false"/>
          <w:sz w:val="24"/>
        </w:rPr>
        <w:t>CEC data regarding new capacity additions over last 15, 10 and 5 years (September hearings?  CEC filings?  FERC and Menlo Reports?);</w:t>
      </w:r>
    </w:p>
    <w:p>
      <w:pPr>
        <w:pStyle w:val="Heading4"/>
        <w:keepNext w:val="false"/>
        <w:ind w:hanging="0" w:start="0"/>
        <w:rPr>
          <w:b w:val="false"/>
          <w:bCs w:val="false"/>
          <w:sz w:val="24"/>
        </w:rPr>
      </w:pPr>
      <w:r>
        <w:rPr>
          <w:b w:val="false"/>
          <w:bCs w:val="false"/>
          <w:sz w:val="24"/>
        </w:rPr>
        <w:t xml:space="preserve">California had projected a need for resources and was on the path to develop </w:t>
      </w:r>
      <w:r>
        <w:rPr>
          <w:b w:val="false"/>
          <w:bCs w:val="false"/>
          <w:sz w:val="24"/>
          <w:szCs w:val="24"/>
        </w:rPr>
        <w:t>almost 1200 MW of new,</w:t>
      </w:r>
      <w:r>
        <w:rPr>
          <w:b w:val="false"/>
          <w:bCs w:val="false"/>
          <w:sz w:val="24"/>
        </w:rPr>
        <w:t xml:space="preserve"> diversified supply, until SCE and SDG&amp;E killed the BRPU process;</w:t>
      </w:r>
    </w:p>
    <w:p>
      <w:pPr>
        <w:pStyle w:val="Heading5"/>
        <w:ind w:hanging="0" w:start="0"/>
        <w:rPr>
          <w:b w:val="false"/>
          <w:bCs w:val="false"/>
          <w:i w:val="false"/>
          <w:i w:val="false"/>
          <w:iCs w:val="false"/>
          <w:sz w:val="24"/>
        </w:rPr>
      </w:pPr>
      <w:r>
        <w:rPr>
          <w:b w:val="false"/>
          <w:bCs w:val="false"/>
          <w:i w:val="false"/>
          <w:iCs w:val="false"/>
          <w:sz w:val="24"/>
        </w:rPr>
        <w:t>No subsequent steps were taken to ensure supply availability, but rather the move was made to rely upon market forces to determine the quantity and type of new resources that would be built.</w:t>
      </w:r>
    </w:p>
    <w:p>
      <w:pPr>
        <w:pStyle w:val="Heading5"/>
        <w:ind w:hanging="0" w:start="0"/>
        <w:rPr>
          <w:b w:val="false"/>
          <w:bCs w:val="false"/>
          <w:i w:val="false"/>
          <w:i w:val="false"/>
          <w:iCs w:val="false"/>
          <w:sz w:val="24"/>
        </w:rPr>
      </w:pPr>
      <w:r>
        <w:rPr>
          <w:b w:val="false"/>
          <w:bCs w:val="false"/>
          <w:i w:val="false"/>
          <w:iCs w:val="false"/>
          <w:sz w:val="24"/>
        </w:rPr>
        <w:t>No single entity is responsible for supply sufficiency, so no entity is “forced” into a leadership role.  Entities that try to take a leadership role are second guessed and criticized by other entities, thus undermining the likelihood that sufficient supplies will be in place for the next peak season.</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Market Response Has Started</w:t>
      </w:r>
      <w:r>
        <w:rPr>
          <w:rFonts w:cs="Times New Roman" w:ascii="Times New Roman" w:hAnsi="Times New Roman"/>
          <w:b w:val="false"/>
          <w:bCs w:val="false"/>
          <w:sz w:val="24"/>
        </w:rPr>
        <w:t>: New projects are in the regulatory and contractual pipelines, but regulatory and environmental requirements slow construction and regulatory uncertainty will raise the cost of capital, etc.</w:t>
      </w:r>
    </w:p>
    <w:p>
      <w:pPr>
        <w:pStyle w:val="Normal"/>
        <w:rPr>
          <w:rFonts w:ascii="Times New Roman" w:hAnsi="Times New Roman" w:cs="Times New Roman"/>
          <w:b/>
          <w:bCs/>
          <w:sz w:val="24"/>
        </w:rPr>
      </w:pPr>
      <w:r>
        <w:rPr>
          <w:rFonts w:cs="Times New Roman"/>
          <w:b/>
          <w:bCs/>
          <w:sz w:val="24"/>
        </w:rPr>
      </w:r>
    </w:p>
    <w:p>
      <w:pPr>
        <w:pStyle w:val="Heading2"/>
        <w:keepNext w:val="false"/>
        <w:ind w:hanging="0" w:start="0"/>
        <w:rPr>
          <w:b/>
          <w:bCs/>
        </w:rPr>
      </w:pPr>
      <w:r>
        <w:rPr>
          <w:b/>
          <w:bCs/>
        </w:rPr>
        <w:t>Over-Reliance On Spot Market And On Imports Had Proved To Be A Poor Market Design</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Imports are Drying Up:</w:t>
      </w:r>
      <w:r>
        <w:rPr>
          <w:rFonts w:cs="Times New Roman" w:ascii="Times New Roman" w:hAnsi="Times New Roman"/>
          <w:b w:val="false"/>
          <w:bCs w:val="false"/>
          <w:sz w:val="24"/>
        </w:rPr>
        <w:t xml:space="preserve">  California’s ability to rely upon imported power from the PNW and SW is uncertain going forward, exacerbating sluggish supply development in-state.</w:t>
      </w:r>
    </w:p>
    <w:p>
      <w:pPr>
        <w:pStyle w:val="Heading4"/>
        <w:keepNext w:val="false"/>
        <w:ind w:hanging="0" w:start="0"/>
        <w:rPr>
          <w:b w:val="false"/>
          <w:bCs w:val="false"/>
          <w:sz w:val="24"/>
        </w:rPr>
      </w:pPr>
      <w:r>
        <w:rPr>
          <w:b w:val="false"/>
          <w:bCs w:val="false"/>
          <w:sz w:val="24"/>
        </w:rPr>
        <w:t>BPA announcement re future availability?</w:t>
      </w:r>
    </w:p>
    <w:p>
      <w:pPr>
        <w:pStyle w:val="Heading4"/>
        <w:keepNext w:val="false"/>
        <w:ind w:hanging="0" w:start="0"/>
        <w:rPr>
          <w:b w:val="false"/>
          <w:bCs w:val="false"/>
          <w:sz w:val="24"/>
        </w:rPr>
      </w:pPr>
      <w:r>
        <w:rPr>
          <w:b w:val="false"/>
          <w:bCs w:val="false"/>
          <w:sz w:val="24"/>
        </w:rPr>
        <w:t>AZ and SW growth?</w:t>
      </w:r>
    </w:p>
    <w:p>
      <w:pPr>
        <w:pStyle w:val="Heading4"/>
        <w:keepNext w:val="false"/>
        <w:ind w:hanging="0" w:start="0"/>
        <w:rPr>
          <w:b w:val="false"/>
          <w:bCs w:val="false"/>
          <w:sz w:val="24"/>
        </w:rPr>
      </w:pPr>
      <w:r>
        <w:rPr>
          <w:b w:val="false"/>
          <w:bCs w:val="false"/>
          <w:sz w:val="24"/>
        </w:rPr>
        <w:t xml:space="preserve">Variable import availability with changes in hydro conditions </w:t>
      </w:r>
    </w:p>
    <w:p>
      <w:pPr>
        <w:pStyle w:val="Heading4"/>
        <w:keepNext w:val="false"/>
        <w:ind w:hanging="0" w:start="0"/>
        <w:rPr>
          <w:b w:val="false"/>
          <w:bCs w:val="false"/>
          <w:sz w:val="24"/>
        </w:rPr>
      </w:pPr>
      <w:r>
        <w:rPr>
          <w:b w:val="false"/>
          <w:bCs w:val="false"/>
          <w:sz w:val="24"/>
        </w:rPr>
        <w:t>Availability of imports will improve and as regional supplies are built and interstate wholesale competition occurs</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State’s Initial Design Rested on Spot Markets</w:t>
      </w:r>
      <w:r>
        <w:rPr>
          <w:rFonts w:cs="Times New Roman" w:ascii="Times New Roman" w:hAnsi="Times New Roman"/>
          <w:b w:val="false"/>
          <w:bCs w:val="false"/>
          <w:sz w:val="24"/>
        </w:rPr>
        <w:t xml:space="preserve">:  CPUC policies associated with utility stranded cost recovery and concerns about utility retail market power led to particular policies that are impeding efficient market behavior now. </w:t>
      </w:r>
    </w:p>
    <w:p>
      <w:pPr>
        <w:pStyle w:val="Heading4"/>
        <w:keepNext w:val="false"/>
        <w:ind w:hanging="0" w:start="0"/>
        <w:rPr>
          <w:b w:val="false"/>
          <w:bCs w:val="false"/>
          <w:sz w:val="24"/>
        </w:rPr>
      </w:pPr>
      <w:r>
        <w:rPr>
          <w:b w:val="false"/>
          <w:bCs w:val="false"/>
          <w:sz w:val="24"/>
        </w:rPr>
        <w:t xml:space="preserve">The CalPX’s Day Ahead Market was anticipated to be the source of most power sales and purchases by the incumbent utilities in order to provide a transparent market process that would engender confidence in the market price.  </w:t>
      </w:r>
    </w:p>
    <w:p>
      <w:pPr>
        <w:pStyle w:val="Heading5"/>
        <w:ind w:hanging="0" w:start="0"/>
        <w:rPr>
          <w:b w:val="false"/>
          <w:bCs w:val="false"/>
          <w:i w:val="false"/>
          <w:i w:val="false"/>
          <w:iCs w:val="false"/>
          <w:sz w:val="24"/>
        </w:rPr>
      </w:pPr>
      <w:r>
        <w:rPr>
          <w:b w:val="false"/>
          <w:bCs w:val="false"/>
          <w:i w:val="false"/>
          <w:iCs w:val="false"/>
          <w:sz w:val="24"/>
        </w:rPr>
        <w:t>There was concern that absent a clear and unquestionable market price the utilities could exert market power and undermine the development of wholesale and retail competition.</w:t>
      </w:r>
    </w:p>
    <w:p>
      <w:pPr>
        <w:pStyle w:val="Heading5"/>
        <w:ind w:hanging="0" w:start="0"/>
        <w:rPr>
          <w:b w:val="false"/>
          <w:bCs w:val="false"/>
          <w:i w:val="false"/>
          <w:i w:val="false"/>
          <w:iCs w:val="false"/>
          <w:sz w:val="24"/>
        </w:rPr>
      </w:pPr>
      <w:r>
        <w:rPr>
          <w:b w:val="false"/>
          <w:bCs w:val="false"/>
          <w:i w:val="false"/>
          <w:iCs w:val="false"/>
          <w:sz w:val="24"/>
        </w:rPr>
        <w:t xml:space="preserve">Retail competition has been undermined by other CPUC policies, and the utilities have retail market shares exceeding 80% of the retail customers.  </w:t>
      </w:r>
    </w:p>
    <w:p>
      <w:pPr>
        <w:pStyle w:val="Heading4"/>
        <w:keepNext w:val="false"/>
        <w:ind w:hanging="0" w:start="0"/>
        <w:rPr>
          <w:b w:val="false"/>
          <w:bCs w:val="false"/>
          <w:sz w:val="24"/>
        </w:rPr>
      </w:pPr>
      <w:r>
        <w:rPr>
          <w:b w:val="false"/>
          <w:bCs w:val="false"/>
          <w:sz w:val="24"/>
        </w:rPr>
        <w:t>The “conventional wisdom” at the start of restructuring was that the unbundled “commodity” portion of retail rates would always exceed costs, allowing “surplus” monies to pay down “stranded costs.”</w:t>
      </w:r>
    </w:p>
    <w:p>
      <w:pPr>
        <w:pStyle w:val="Heading5"/>
        <w:ind w:hanging="0" w:start="0"/>
        <w:rPr>
          <w:b w:val="false"/>
          <w:bCs w:val="false"/>
          <w:i w:val="false"/>
          <w:i w:val="false"/>
          <w:iCs w:val="false"/>
          <w:sz w:val="24"/>
        </w:rPr>
      </w:pPr>
      <w:r>
        <w:rPr>
          <w:b w:val="false"/>
          <w:bCs w:val="false"/>
          <w:i w:val="false"/>
          <w:iCs w:val="false"/>
          <w:sz w:val="24"/>
        </w:rPr>
        <w:t>Costs are “stranded” when the market price will not cover the resources fixed and variable costs of operation;</w:t>
      </w:r>
    </w:p>
    <w:p>
      <w:pPr>
        <w:pStyle w:val="Heading6"/>
        <w:ind w:hanging="0" w:start="0"/>
        <w:rPr>
          <w:b w:val="false"/>
          <w:bCs w:val="false"/>
          <w:sz w:val="24"/>
        </w:rPr>
      </w:pPr>
      <w:r>
        <w:rPr>
          <w:b w:val="false"/>
          <w:bCs w:val="false"/>
          <w:sz w:val="24"/>
        </w:rPr>
        <w:t>The utilities were concerned that the older facilities would not be competitive in the new marketplace;</w:t>
      </w:r>
    </w:p>
    <w:p>
      <w:pPr>
        <w:pStyle w:val="Heading5"/>
        <w:ind w:hanging="0" w:start="0"/>
        <w:rPr>
          <w:b w:val="false"/>
          <w:bCs w:val="false"/>
          <w:i w:val="false"/>
          <w:i w:val="false"/>
          <w:iCs w:val="false"/>
          <w:sz w:val="24"/>
        </w:rPr>
      </w:pPr>
      <w:r>
        <w:rPr>
          <w:b w:val="false"/>
          <w:bCs w:val="false"/>
          <w:i w:val="false"/>
          <w:iCs w:val="false"/>
          <w:sz w:val="24"/>
        </w:rPr>
        <w:t>“</w:t>
      </w:r>
      <w:r>
        <w:rPr>
          <w:b w:val="false"/>
          <w:bCs w:val="false"/>
          <w:i w:val="false"/>
          <w:iCs w:val="false"/>
          <w:sz w:val="24"/>
        </w:rPr>
        <w:t>Stranded costs” significantly diminish (or disappear) when the region price of power elevates and all resources are needed in the market.</w:t>
      </w:r>
    </w:p>
    <w:p>
      <w:pPr>
        <w:pStyle w:val="Heading4"/>
        <w:keepNext w:val="false"/>
        <w:ind w:hanging="0" w:start="0"/>
        <w:rPr>
          <w:b w:val="false"/>
          <w:bCs w:val="false"/>
          <w:sz w:val="24"/>
        </w:rPr>
      </w:pPr>
      <w:r>
        <w:rPr>
          <w:b w:val="false"/>
          <w:bCs w:val="false"/>
          <w:sz w:val="24"/>
        </w:rPr>
        <w:t>Concern that if permitted to enter bilateral contracts the utilities would be positioned to manipulate the marketplace and thwart the development of wholesale and retail competition.</w:t>
      </w:r>
    </w:p>
    <w:p>
      <w:pPr>
        <w:pStyle w:val="Normal"/>
        <w:rPr>
          <w:b/>
          <w:bCs/>
          <w:sz w:val="24"/>
        </w:rPr>
      </w:pPr>
      <w:r>
        <w:rPr>
          <w:b/>
          <w:bCs/>
          <w:sz w:val="24"/>
        </w:rPr>
      </w:r>
    </w:p>
    <w:p>
      <w:pPr>
        <w:pStyle w:val="Heading2"/>
        <w:keepNext w:val="false"/>
        <w:ind w:hanging="0" w:start="0"/>
        <w:rPr>
          <w:b/>
          <w:bCs/>
        </w:rPr>
      </w:pPr>
      <w:r>
        <w:rPr>
          <w:b/>
          <w:bCs/>
        </w:rPr>
        <w:t>The Initial “Transition” Policies And Current Market Conditions Resulted In Unfavorable Circumstances For The Ultimate Consumers:</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Scaring the Retail Markets</w:t>
      </w:r>
      <w:r>
        <w:rPr>
          <w:rFonts w:cs="Times New Roman" w:ascii="Times New Roman" w:hAnsi="Times New Roman"/>
          <w:b w:val="false"/>
          <w:bCs w:val="false"/>
          <w:sz w:val="24"/>
        </w:rPr>
        <w:t>: High wholesale and retail price volatility (see Wolak p 10)</w:t>
      </w:r>
    </w:p>
    <w:p>
      <w:pPr>
        <w:pStyle w:val="Heading4"/>
        <w:keepNext w:val="false"/>
        <w:ind w:hanging="0" w:start="0"/>
        <w:rPr>
          <w:b w:val="false"/>
          <w:bCs w:val="false"/>
          <w:sz w:val="24"/>
        </w:rPr>
      </w:pPr>
      <w:r>
        <w:rPr>
          <w:b w:val="false"/>
          <w:bCs w:val="false"/>
          <w:sz w:val="24"/>
        </w:rPr>
        <w:t xml:space="preserve">Retail customers have operated under years of frozen rates and have been told that prices would decline after the rate freeze part of the “transition period.”  Thus the rates in SDG&amp;E territory caused major “price shock” and now customers in the PG&amp;E and SCE territories believing their current (frozen) rates are too high; </w:t>
      </w:r>
    </w:p>
    <w:p>
      <w:pPr>
        <w:pStyle w:val="Heading4"/>
        <w:keepNext w:val="false"/>
        <w:ind w:hanging="0" w:start="0"/>
        <w:rPr>
          <w:b w:val="false"/>
          <w:bCs w:val="false"/>
          <w:sz w:val="24"/>
        </w:rPr>
      </w:pPr>
      <w:r>
        <w:rPr>
          <w:b w:val="false"/>
          <w:bCs w:val="false"/>
          <w:sz w:val="24"/>
        </w:rPr>
        <w:t>Security requirements meant that high wholesale prices reduced the number of retail providers in the market;</w:t>
      </w:r>
    </w:p>
    <w:p>
      <w:pPr>
        <w:pStyle w:val="Heading4"/>
        <w:keepNext w:val="false"/>
        <w:ind w:hanging="0" w:start="0"/>
        <w:rPr>
          <w:b w:val="false"/>
          <w:bCs w:val="false"/>
          <w:sz w:val="24"/>
        </w:rPr>
      </w:pPr>
      <w:r>
        <w:rPr>
          <w:b w:val="false"/>
          <w:bCs w:val="false"/>
          <w:sz w:val="24"/>
        </w:rPr>
        <w:t>Utilities move more retail demand to price-capped CAISO realtime markets to maximized CTC collection, and eschew forward contracting;</w:t>
      </w:r>
    </w:p>
    <w:p>
      <w:pPr>
        <w:pStyle w:val="Heading4"/>
        <w:keepNext w:val="false"/>
        <w:ind w:hanging="0" w:start="0"/>
        <w:rPr>
          <w:b w:val="false"/>
          <w:bCs w:val="false"/>
          <w:sz w:val="24"/>
        </w:rPr>
      </w:pPr>
      <w:r>
        <w:rPr>
          <w:b w:val="false"/>
          <w:bCs w:val="false"/>
          <w:sz w:val="24"/>
        </w:rPr>
        <w:t>Marketers work with volatility; consumers do not like volatility;</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Reliability Problems and Service Interruptions</w:t>
      </w:r>
      <w:r>
        <w:rPr>
          <w:rFonts w:cs="Times New Roman" w:ascii="Times New Roman" w:hAnsi="Times New Roman"/>
          <w:b w:val="false"/>
          <w:bCs w:val="false"/>
          <w:sz w:val="24"/>
        </w:rPr>
        <w:t>: Threat of service interruptions and curtailments because of reliability issues and/or high demand makes consumers nervous.</w:t>
      </w:r>
    </w:p>
    <w:p>
      <w:pPr>
        <w:pStyle w:val="Heading4"/>
        <w:keepNext w:val="false"/>
        <w:ind w:hanging="0" w:start="0"/>
        <w:rPr>
          <w:b w:val="false"/>
          <w:bCs w:val="false"/>
          <w:sz w:val="24"/>
        </w:rPr>
      </w:pPr>
      <w:r>
        <w:rPr>
          <w:b w:val="false"/>
          <w:bCs w:val="false"/>
          <w:sz w:val="24"/>
        </w:rPr>
        <w:t>CAISO uses the curtailable customers very differently from how the utilities had traditionally treated those customers, increasing the frequency of curtailments and allowing varying duration of curtailments;</w:t>
      </w:r>
    </w:p>
    <w:p>
      <w:pPr>
        <w:pStyle w:val="Heading5"/>
        <w:ind w:hanging="0" w:start="0"/>
        <w:rPr>
          <w:b w:val="false"/>
          <w:bCs w:val="false"/>
          <w:i w:val="false"/>
          <w:i w:val="false"/>
          <w:iCs w:val="false"/>
          <w:sz w:val="24"/>
        </w:rPr>
      </w:pPr>
      <w:r>
        <w:rPr>
          <w:b w:val="false"/>
          <w:bCs w:val="false"/>
          <w:i w:val="false"/>
          <w:iCs w:val="false"/>
          <w:sz w:val="24"/>
        </w:rPr>
        <w:t>Numbers of Stage One and Two alerts unparalleled. 1998, 1999, 2000 (DMA data from Sept 12)</w:t>
      </w:r>
    </w:p>
    <w:p>
      <w:pPr>
        <w:pStyle w:val="Heading4"/>
        <w:keepNext w:val="false"/>
        <w:ind w:hanging="0" w:start="0"/>
        <w:rPr>
          <w:b w:val="false"/>
          <w:bCs w:val="false"/>
          <w:sz w:val="24"/>
        </w:rPr>
      </w:pPr>
      <w:r>
        <w:rPr>
          <w:b w:val="false"/>
          <w:bCs w:val="false"/>
          <w:sz w:val="24"/>
        </w:rPr>
        <w:t>Sequential curtailment days impact industrial operations, significantly impacting the opportunity costs for “non-firm” customers, leading many to contemplate “opt out”.</w:t>
      </w:r>
    </w:p>
    <w:p>
      <w:pPr>
        <w:pStyle w:val="Heading4"/>
        <w:ind w:hanging="0" w:start="0"/>
        <w:rPr>
          <w:b w:val="false"/>
          <w:bCs w:val="false"/>
          <w:sz w:val="24"/>
        </w:rPr>
      </w:pPr>
      <w:r>
        <w:rPr>
          <w:b w:val="false"/>
          <w:bCs w:val="false"/>
          <w:sz w:val="24"/>
        </w:rPr>
        <w:t>CPUC moves to change rules, closes door on “opt out,” and starts new proceeding.</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Thrown in the Deep End</w:t>
      </w:r>
      <w:r>
        <w:rPr>
          <w:rFonts w:cs="Times New Roman" w:ascii="Times New Roman" w:hAnsi="Times New Roman"/>
          <w:b w:val="false"/>
          <w:bCs w:val="false"/>
          <w:sz w:val="24"/>
        </w:rPr>
        <w:t>: SDG&amp;E ratepayers affected directly and political backlash begins.</w:t>
      </w:r>
    </w:p>
    <w:p>
      <w:pPr>
        <w:pStyle w:val="Heading4"/>
        <w:keepNext w:val="false"/>
        <w:ind w:hanging="0" w:start="0"/>
        <w:rPr>
          <w:b w:val="false"/>
          <w:bCs w:val="false"/>
          <w:sz w:val="24"/>
        </w:rPr>
      </w:pPr>
      <w:r>
        <w:rPr>
          <w:b w:val="false"/>
          <w:bCs w:val="false"/>
          <w:sz w:val="24"/>
        </w:rPr>
        <w:t>SDG&amp;E completed rate freeze period with sale of assets, but retained partially capped rates in 1999;</w:t>
      </w:r>
    </w:p>
    <w:p>
      <w:pPr>
        <w:pStyle w:val="Heading4"/>
        <w:keepNext w:val="false"/>
        <w:ind w:hanging="0" w:start="0"/>
        <w:rPr>
          <w:b w:val="false"/>
          <w:bCs w:val="false"/>
          <w:sz w:val="24"/>
        </w:rPr>
      </w:pPr>
      <w:r>
        <w:rPr>
          <w:b w:val="false"/>
          <w:bCs w:val="false"/>
          <w:sz w:val="24"/>
        </w:rPr>
        <w:t>CPUC did not approve “Commodity PBR” proposal in PTR case, and utility did not seek end of “mandatory buy” requirement at CPUC.</w:t>
      </w:r>
    </w:p>
    <w:p>
      <w:pPr>
        <w:pStyle w:val="Heading5"/>
        <w:ind w:hanging="0" w:start="0"/>
        <w:rPr>
          <w:b w:val="false"/>
          <w:bCs w:val="false"/>
          <w:i w:val="false"/>
          <w:i w:val="false"/>
          <w:iCs w:val="false"/>
          <w:sz w:val="24"/>
        </w:rPr>
      </w:pPr>
      <w:r>
        <w:rPr>
          <w:b w:val="false"/>
          <w:bCs w:val="false"/>
          <w:i w:val="false"/>
          <w:iCs w:val="false"/>
          <w:sz w:val="24"/>
        </w:rPr>
        <w:t>SDG&amp;E more favorable to retail market development, but failed to “cover” when retail options did not materialize for their customers</w:t>
      </w:r>
    </w:p>
    <w:p>
      <w:pPr>
        <w:pStyle w:val="Heading4"/>
        <w:keepNext w:val="false"/>
        <w:ind w:hanging="0" w:start="0"/>
        <w:rPr>
          <w:b w:val="false"/>
          <w:bCs w:val="false"/>
          <w:sz w:val="24"/>
        </w:rPr>
      </w:pPr>
      <w:r>
        <w:rPr>
          <w:b w:val="false"/>
          <w:bCs w:val="false"/>
          <w:sz w:val="24"/>
        </w:rPr>
        <w:t>High prices created de facto “demand response” that has reversed with the imposition of new price cap pursuant to legislation;</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Not Enough in This Pocket</w:t>
      </w:r>
      <w:r>
        <w:rPr>
          <w:rFonts w:cs="Times New Roman" w:ascii="Times New Roman" w:hAnsi="Times New Roman"/>
          <w:b w:val="false"/>
          <w:bCs w:val="false"/>
          <w:sz w:val="24"/>
        </w:rPr>
        <w:t>: SCE, PG&amp;E caught with high balances in certain regulatory accounts</w:t>
      </w:r>
    </w:p>
    <w:p>
      <w:pPr>
        <w:pStyle w:val="Heading4"/>
        <w:keepNext w:val="false"/>
        <w:ind w:hanging="0" w:start="0"/>
        <w:rPr>
          <w:b w:val="false"/>
          <w:bCs w:val="false"/>
          <w:sz w:val="24"/>
        </w:rPr>
      </w:pPr>
      <w:r>
        <w:rPr>
          <w:b w:val="false"/>
          <w:bCs w:val="false"/>
          <w:sz w:val="24"/>
        </w:rPr>
        <w:t>So-called “technical insolvency” and utility calls to the CPUC to change PTR decisions</w:t>
      </w:r>
    </w:p>
    <w:p>
      <w:pPr>
        <w:pStyle w:val="Heading4"/>
        <w:keepNext w:val="false"/>
        <w:ind w:hanging="0" w:start="0"/>
        <w:rPr>
          <w:b w:val="false"/>
          <w:bCs w:val="false"/>
          <w:sz w:val="24"/>
        </w:rPr>
      </w:pPr>
      <w:r>
        <w:rPr>
          <w:b w:val="false"/>
          <w:bCs w:val="false"/>
          <w:sz w:val="24"/>
        </w:rPr>
        <w:t>Declarations that utilities may end their “rate freeze” period</w:t>
      </w:r>
    </w:p>
    <w:p>
      <w:pPr>
        <w:pStyle w:val="Heading5"/>
        <w:ind w:hanging="0" w:start="0"/>
        <w:rPr>
          <w:b w:val="false"/>
          <w:bCs w:val="false"/>
          <w:i w:val="false"/>
          <w:i w:val="false"/>
          <w:iCs w:val="false"/>
          <w:sz w:val="24"/>
        </w:rPr>
      </w:pPr>
      <w:r>
        <w:rPr>
          <w:b w:val="false"/>
          <w:bCs w:val="false"/>
          <w:i w:val="false"/>
          <w:iCs w:val="false"/>
          <w:sz w:val="24"/>
        </w:rPr>
        <w:t>Subject of pending proceedings at CPUC;</w:t>
      </w:r>
    </w:p>
    <w:p>
      <w:pPr>
        <w:pStyle w:val="Heading5"/>
        <w:ind w:hanging="0" w:start="0"/>
        <w:rPr>
          <w:b w:val="false"/>
          <w:bCs w:val="false"/>
          <w:i w:val="false"/>
          <w:i w:val="false"/>
          <w:iCs w:val="false"/>
          <w:sz w:val="24"/>
        </w:rPr>
      </w:pPr>
      <w:r>
        <w:rPr>
          <w:b w:val="false"/>
          <w:bCs w:val="false"/>
          <w:i w:val="false"/>
          <w:iCs w:val="false"/>
          <w:sz w:val="24"/>
        </w:rPr>
        <w:t>Driving consumer concern about tripling of bills;</w:t>
      </w:r>
    </w:p>
    <w:p>
      <w:pPr>
        <w:pStyle w:val="Heading4"/>
        <w:ind w:hanging="0" w:start="0"/>
        <w:rPr>
          <w:b w:val="false"/>
          <w:bCs w:val="false"/>
          <w:sz w:val="24"/>
        </w:rPr>
      </w:pPr>
      <w:r>
        <w:rPr>
          <w:b w:val="false"/>
          <w:bCs w:val="false"/>
          <w:sz w:val="24"/>
        </w:rPr>
        <w:t>More new proceedings at the CPUC to address undercollections issues;</w:t>
      </w:r>
    </w:p>
    <w:p>
      <w:pPr>
        <w:pStyle w:val="Normal"/>
        <w:rPr>
          <w:b/>
          <w:bCs/>
          <w:sz w:val="24"/>
        </w:rPr>
      </w:pPr>
      <w:r>
        <w:rPr>
          <w:b/>
          <w:bCs/>
          <w:sz w:val="24"/>
        </w:rPr>
      </w:r>
    </w:p>
    <w:p>
      <w:pPr>
        <w:pStyle w:val="Heading2"/>
        <w:keepNext w:val="false"/>
        <w:ind w:hanging="0" w:start="0"/>
        <w:rPr>
          <w:b/>
          <w:bCs/>
        </w:rPr>
      </w:pPr>
      <w:r>
        <w:rPr>
          <w:b/>
          <w:bCs/>
        </w:rPr>
        <w:t>Retail Market Design, Role Of The Utility And “Default Provider” Issues Must Be Addressed.</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It’s the (Retail) Market, Stupid</w:t>
      </w:r>
      <w:r>
        <w:rPr>
          <w:rFonts w:cs="Times New Roman" w:ascii="Times New Roman" w:hAnsi="Times New Roman"/>
          <w:b w:val="false"/>
          <w:bCs w:val="false"/>
          <w:sz w:val="24"/>
        </w:rPr>
        <w:t>: the CPUC’s initial retail market design and rules ultimately undermine the development of retail competition, particularly for smaller customers and those the “poor load profiles.”</w:t>
      </w:r>
    </w:p>
    <w:p>
      <w:pPr>
        <w:pStyle w:val="Heading4"/>
        <w:keepNext w:val="false"/>
        <w:ind w:hanging="0" w:start="0"/>
        <w:rPr>
          <w:b w:val="false"/>
          <w:bCs w:val="false"/>
          <w:sz w:val="24"/>
        </w:rPr>
      </w:pPr>
      <w:r>
        <w:rPr>
          <w:b w:val="false"/>
          <w:bCs w:val="false"/>
          <w:sz w:val="24"/>
        </w:rPr>
        <w:t>Incomplete rate “unbundling” blurs distinctions between “commodity” and “wires” charges;</w:t>
      </w:r>
    </w:p>
    <w:p>
      <w:pPr>
        <w:pStyle w:val="Heading4"/>
        <w:keepNext w:val="false"/>
        <w:ind w:hanging="0" w:start="0"/>
        <w:rPr>
          <w:b w:val="false"/>
          <w:bCs w:val="false"/>
          <w:sz w:val="24"/>
        </w:rPr>
      </w:pPr>
      <w:r>
        <w:rPr>
          <w:b w:val="false"/>
          <w:bCs w:val="false"/>
          <w:sz w:val="24"/>
        </w:rPr>
        <w:t>Utilities control variable monthly “PX” charge that includes no costs for providing the commodity service</w:t>
      </w:r>
    </w:p>
    <w:p>
      <w:pPr>
        <w:pStyle w:val="Heading5"/>
        <w:ind w:hanging="0" w:start="0"/>
        <w:rPr>
          <w:b w:val="false"/>
          <w:bCs w:val="false"/>
          <w:i w:val="false"/>
          <w:i w:val="false"/>
          <w:iCs w:val="false"/>
          <w:sz w:val="24"/>
        </w:rPr>
      </w:pPr>
      <w:r>
        <w:rPr>
          <w:b w:val="false"/>
          <w:bCs w:val="false"/>
          <w:i w:val="false"/>
          <w:iCs w:val="false"/>
          <w:sz w:val="24"/>
        </w:rPr>
        <w:t>hybrid rate of forecast current period PX DA charges plus CAISO imbalance energy and AS costs from three months prior;</w:t>
      </w:r>
    </w:p>
    <w:p>
      <w:pPr>
        <w:pStyle w:val="Heading4"/>
        <w:keepNext w:val="false"/>
        <w:ind w:hanging="0" w:start="0"/>
        <w:rPr>
          <w:b w:val="false"/>
          <w:bCs w:val="false"/>
          <w:sz w:val="24"/>
        </w:rPr>
      </w:pPr>
      <w:r>
        <w:rPr>
          <w:b w:val="false"/>
          <w:bCs w:val="false"/>
          <w:sz w:val="24"/>
        </w:rPr>
        <w:t>PX Credit and function of load profile makes half of each customer class unattractive to competitive providers;</w:t>
      </w:r>
    </w:p>
    <w:p>
      <w:pPr>
        <w:pStyle w:val="Heading4"/>
        <w:keepNext w:val="false"/>
        <w:ind w:hanging="0" w:start="0"/>
        <w:rPr>
          <w:b w:val="false"/>
          <w:bCs w:val="false"/>
          <w:sz w:val="24"/>
        </w:rPr>
      </w:pPr>
      <w:r>
        <w:rPr>
          <w:b w:val="false"/>
          <w:bCs w:val="false"/>
          <w:sz w:val="24"/>
        </w:rPr>
        <w:t>other issues from ESPs?</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What’s My Line</w:t>
      </w:r>
      <w:r>
        <w:rPr>
          <w:rFonts w:cs="Times New Roman" w:ascii="Times New Roman" w:hAnsi="Times New Roman"/>
          <w:b w:val="false"/>
          <w:bCs w:val="false"/>
          <w:sz w:val="24"/>
        </w:rPr>
        <w:t>: Failure to address or define the “Role of the UDCs” has harmed industry restructuring and disrupted the transition;</w:t>
      </w:r>
    </w:p>
    <w:p>
      <w:pPr>
        <w:pStyle w:val="Heading4"/>
        <w:keepNext w:val="false"/>
        <w:ind w:hanging="0" w:start="0"/>
        <w:rPr>
          <w:b w:val="false"/>
          <w:bCs w:val="false"/>
          <w:sz w:val="24"/>
        </w:rPr>
      </w:pPr>
      <w:r>
        <w:rPr>
          <w:b w:val="false"/>
          <w:bCs w:val="false"/>
          <w:sz w:val="24"/>
        </w:rPr>
        <w:t>Should the utilities be “distribution companies” or “distribution and commodity companies”?</w:t>
      </w:r>
    </w:p>
    <w:p>
      <w:pPr>
        <w:pStyle w:val="Heading5"/>
        <w:ind w:hanging="0" w:start="0"/>
        <w:rPr>
          <w:b w:val="false"/>
          <w:bCs w:val="false"/>
          <w:i w:val="false"/>
          <w:i w:val="false"/>
          <w:iCs w:val="false"/>
          <w:sz w:val="24"/>
        </w:rPr>
      </w:pPr>
      <w:r>
        <w:rPr>
          <w:b w:val="false"/>
          <w:bCs w:val="false"/>
          <w:i w:val="false"/>
          <w:iCs w:val="false"/>
          <w:sz w:val="24"/>
        </w:rPr>
        <w:t>SDG&amp;E adopted the “wires only” stance and favored retail competition more than other UDCs and as encouraged by a number of customer groups and the CPUC, but was ultimately blamed for not “protecting customers”?</w:t>
      </w:r>
    </w:p>
    <w:p>
      <w:pPr>
        <w:pStyle w:val="Heading5"/>
        <w:ind w:hanging="0" w:start="0"/>
        <w:rPr>
          <w:b w:val="false"/>
          <w:bCs w:val="false"/>
          <w:i w:val="false"/>
          <w:i w:val="false"/>
          <w:iCs w:val="false"/>
          <w:sz w:val="24"/>
        </w:rPr>
      </w:pPr>
      <w:r>
        <w:rPr>
          <w:b w:val="false"/>
          <w:bCs w:val="false"/>
          <w:i w:val="false"/>
          <w:iCs w:val="false"/>
          <w:sz w:val="24"/>
        </w:rPr>
        <w:t>SCE and PG&amp;E have aggressively argued that customers choosing other providers should only receive commodity (or other) credits as measured by the utility’s “avoided cost” or decremental marginal cost of service.</w:t>
      </w:r>
    </w:p>
    <w:p>
      <w:pPr>
        <w:pStyle w:val="Heading4"/>
        <w:keepNext w:val="false"/>
        <w:ind w:hanging="0" w:start="0"/>
        <w:rPr>
          <w:b w:val="false"/>
          <w:bCs w:val="false"/>
          <w:sz w:val="24"/>
        </w:rPr>
      </w:pPr>
      <w:r>
        <w:rPr>
          <w:b w:val="false"/>
          <w:bCs w:val="false"/>
          <w:sz w:val="24"/>
        </w:rPr>
        <w:t>If the UDCs are “competitors” with a menu of service options, can other providers effectively enter the market, or will incumbency rule the market?</w:t>
      </w:r>
    </w:p>
    <w:p>
      <w:pPr>
        <w:pStyle w:val="Heading5"/>
        <w:ind w:hanging="0" w:start="0"/>
        <w:rPr>
          <w:b w:val="false"/>
          <w:bCs w:val="false"/>
          <w:i w:val="false"/>
          <w:i w:val="false"/>
          <w:iCs w:val="false"/>
          <w:sz w:val="24"/>
        </w:rPr>
      </w:pPr>
      <w:r>
        <w:rPr>
          <w:b w:val="false"/>
          <w:bCs w:val="false"/>
          <w:i w:val="false"/>
          <w:iCs w:val="false"/>
          <w:sz w:val="24"/>
        </w:rPr>
        <w:t>Major issue underlying the PTR case at CPUC, and major issue to be addressed if retail market is part of the solution</w:t>
      </w:r>
    </w:p>
    <w:p>
      <w:pPr>
        <w:pStyle w:val="Heading3"/>
        <w:keepNext w:val="false"/>
        <w:ind w:hanging="0" w:start="0"/>
        <w:rPr>
          <w:rFonts w:ascii="Times New Roman" w:hAnsi="Times New Roman" w:cs="Times New Roman"/>
          <w:b w:val="false"/>
          <w:bCs w:val="false"/>
          <w:i/>
          <w:i/>
          <w:iCs/>
          <w:sz w:val="24"/>
        </w:rPr>
      </w:pPr>
      <w:r>
        <w:rPr>
          <w:rFonts w:cs="Times New Roman" w:ascii="Times New Roman" w:hAnsi="Times New Roman"/>
          <w:b w:val="false"/>
          <w:bCs w:val="false"/>
          <w:i/>
          <w:iCs/>
          <w:sz w:val="24"/>
        </w:rPr>
        <w:t>What is the “Default Provider” and What Service Do They Provide?</w:t>
      </w:r>
    </w:p>
    <w:p>
      <w:pPr>
        <w:pStyle w:val="Heading4"/>
        <w:keepNext w:val="false"/>
        <w:ind w:hanging="0" w:start="0"/>
        <w:rPr>
          <w:b w:val="false"/>
          <w:bCs w:val="false"/>
          <w:sz w:val="24"/>
        </w:rPr>
      </w:pPr>
      <w:r>
        <w:rPr>
          <w:b w:val="false"/>
          <w:bCs w:val="false"/>
          <w:sz w:val="24"/>
        </w:rPr>
        <w:t>Is this a subsidized service, and can any customer take this service option?</w:t>
      </w:r>
    </w:p>
    <w:p>
      <w:pPr>
        <w:pStyle w:val="Heading4"/>
        <w:keepNext w:val="false"/>
        <w:ind w:hanging="0" w:start="0"/>
        <w:rPr>
          <w:b w:val="false"/>
          <w:bCs w:val="false"/>
          <w:sz w:val="24"/>
        </w:rPr>
      </w:pPr>
      <w:r>
        <w:rPr>
          <w:b w:val="false"/>
          <w:bCs w:val="false"/>
          <w:sz w:val="24"/>
        </w:rPr>
        <w:t>Is the “Default Provider” limited in its service offerings, or is it a “competitor” in the retail marketplace?</w:t>
      </w:r>
    </w:p>
    <w:p>
      <w:pPr>
        <w:pStyle w:val="Heading2"/>
        <w:keepNext w:val="false"/>
        <w:numPr>
          <w:ilvl w:val="0"/>
          <w:numId w:val="0"/>
        </w:numPr>
        <w:ind w:hanging="0" w:start="720" w:end="0"/>
        <w:rPr>
          <w:b/>
          <w:bCs/>
          <w:sz w:val="24"/>
        </w:rPr>
      </w:pPr>
      <w:r>
        <w:rPr>
          <w:b/>
          <w:bCs/>
          <w:sz w:val="24"/>
        </w:rPr>
      </w:r>
    </w:p>
    <w:p>
      <w:pPr>
        <w:pStyle w:val="Heading2"/>
        <w:keepLines/>
        <w:ind w:hanging="0" w:start="0"/>
        <w:rPr>
          <w:b/>
          <w:bCs/>
        </w:rPr>
      </w:pPr>
      <w:r>
        <w:rPr>
          <w:b/>
          <w:bCs/>
        </w:rPr>
        <w:t>Wholesale Market Price Caps Have Not (And Will Not) Solve Any Problems</w:t>
      </w:r>
    </w:p>
    <w:p>
      <w:pPr>
        <w:pStyle w:val="Heading3"/>
        <w:keepLines/>
        <w:ind w:hanging="0" w:start="0"/>
        <w:rPr>
          <w:rFonts w:ascii="Times New Roman" w:hAnsi="Times New Roman" w:cs="Times New Roman"/>
          <w:b w:val="false"/>
          <w:bCs w:val="false"/>
          <w:sz w:val="24"/>
        </w:rPr>
      </w:pPr>
      <w:r>
        <w:rPr>
          <w:rFonts w:cs="Times New Roman" w:ascii="Times New Roman" w:hAnsi="Times New Roman"/>
          <w:b w:val="false"/>
          <w:bCs w:val="false"/>
          <w:sz w:val="24"/>
        </w:rPr>
        <w:t xml:space="preserve">FERC Order </w:t>
      </w:r>
    </w:p>
    <w:p>
      <w:pPr>
        <w:pStyle w:val="Heading3"/>
        <w:keepLines/>
        <w:ind w:hanging="0" w:start="0"/>
        <w:rPr>
          <w:rFonts w:ascii="Times New Roman" w:hAnsi="Times New Roman" w:cs="Times New Roman"/>
          <w:b w:val="false"/>
          <w:bCs w:val="false"/>
          <w:sz w:val="24"/>
        </w:rPr>
      </w:pPr>
      <w:r>
        <w:rPr>
          <w:rFonts w:cs="Times New Roman" w:ascii="Times New Roman" w:hAnsi="Times New Roman"/>
          <w:b w:val="false"/>
          <w:bCs w:val="false"/>
          <w:sz w:val="24"/>
        </w:rPr>
        <w:t>From $750/MWh to $500/MWh to $250/MWh, August average prices were still higher than June’s even with a lower price cap (per Wolak);</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sz w:val="24"/>
        </w:rPr>
        <w:t>Price capping is similar to “performance based ratemaking” or “incentive” proposals used by regulators in the past;</w:t>
      </w:r>
    </w:p>
    <w:p>
      <w:pPr>
        <w:pStyle w:val="Normal"/>
        <w:rPr>
          <w:rFonts w:ascii="Times New Roman" w:hAnsi="Times New Roman" w:cs="Times New Roman"/>
          <w:b/>
          <w:bCs/>
          <w:sz w:val="24"/>
        </w:rPr>
      </w:pPr>
      <w:r>
        <w:rPr>
          <w:rFonts w:cs="Times New Roman"/>
          <w:b/>
          <w:bCs/>
          <w:sz w:val="24"/>
        </w:rPr>
      </w:r>
    </w:p>
    <w:p>
      <w:pPr>
        <w:pStyle w:val="Heading2"/>
        <w:keepNext w:val="false"/>
        <w:ind w:hanging="0" w:start="0"/>
        <w:rPr>
          <w:b/>
          <w:bCs/>
        </w:rPr>
      </w:pPr>
      <w:r>
        <w:rPr>
          <w:b/>
          <w:bCs/>
        </w:rPr>
        <w:t>Concept Of “Load Differentiated” Wholesale Price Caps Will Exacerbate Problem</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sz w:val="24"/>
        </w:rPr>
        <w:t>FERC Order address this definitively?</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sz w:val="24"/>
        </w:rPr>
        <w:t>Another “gyration” in regulation increases regulatory uncertainty raising the cost of capital and risks associated with California investments;</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sz w:val="24"/>
        </w:rPr>
        <w:t>Redirects scarce resources from longer-term solution to new “stop gap” measures, further delaying development of marketplace needed marketplace improvements;</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sz w:val="24"/>
        </w:rPr>
        <w:t>Increases market complexity and increases likelihood for “unintended consequences”;</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sz w:val="24"/>
        </w:rPr>
        <w:t>It is aimed at price levels, not levels of competition or potential for “market power.”</w:t>
      </w:r>
    </w:p>
    <w:p>
      <w:pPr>
        <w:pStyle w:val="Heading4"/>
        <w:keepNext w:val="false"/>
        <w:ind w:hanging="0" w:start="0"/>
        <w:rPr>
          <w:b w:val="false"/>
          <w:bCs w:val="false"/>
          <w:sz w:val="24"/>
        </w:rPr>
      </w:pPr>
      <w:r>
        <w:rPr>
          <w:b w:val="false"/>
          <w:bCs w:val="false"/>
          <w:sz w:val="24"/>
        </w:rPr>
        <w:t>It would frustrate the very price signals needed to signal new market entry;</w:t>
      </w:r>
    </w:p>
    <w:p>
      <w:pPr>
        <w:pStyle w:val="Heading4"/>
        <w:keepNext w:val="false"/>
        <w:ind w:hanging="0" w:start="0"/>
        <w:rPr>
          <w:b w:val="false"/>
          <w:bCs w:val="false"/>
          <w:sz w:val="24"/>
        </w:rPr>
      </w:pPr>
      <w:r>
        <w:rPr>
          <w:b w:val="false"/>
          <w:bCs w:val="false"/>
          <w:sz w:val="24"/>
        </w:rPr>
        <w:t>It is an imperfect proxy for economic dispatch and is completely unrelated to the concept of a generation marketplace;</w:t>
      </w:r>
    </w:p>
    <w:p>
      <w:pPr>
        <w:pStyle w:val="Heading4"/>
        <w:keepNext w:val="false"/>
        <w:ind w:hanging="0" w:start="0"/>
        <w:rPr>
          <w:b w:val="false"/>
          <w:bCs w:val="false"/>
          <w:sz w:val="24"/>
        </w:rPr>
      </w:pPr>
      <w:r>
        <w:rPr>
          <w:b w:val="false"/>
          <w:bCs w:val="false"/>
          <w:sz w:val="24"/>
        </w:rPr>
        <w:t>The concept of more stringent price caps as supply sufficiency increases is anathema to competition.</w:t>
      </w:r>
    </w:p>
    <w:p>
      <w:pPr>
        <w:pStyle w:val="Normal"/>
        <w:rPr>
          <w:b/>
          <w:bCs/>
          <w:sz w:val="24"/>
        </w:rPr>
      </w:pPr>
      <w:r>
        <w:rPr>
          <w:b/>
          <w:bCs/>
          <w:sz w:val="24"/>
        </w:rPr>
      </w:r>
    </w:p>
    <w:p>
      <w:pPr>
        <w:pStyle w:val="Heading2"/>
        <w:keepNext w:val="false"/>
        <w:ind w:hanging="0" w:start="0"/>
        <w:rPr>
          <w:b/>
          <w:bCs/>
        </w:rPr>
      </w:pPr>
      <w:r>
        <w:rPr>
          <w:b/>
          <w:bCs/>
        </w:rPr>
        <w:t>Frozen and Capped Retail Rates May Not Help</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sz w:val="24"/>
        </w:rPr>
        <w:t>Retail rates completely “delinked” from wholesale market costs mutes price signals to customers, undermines signals for conservation investment and demand responsiveness;</w:t>
      </w:r>
    </w:p>
    <w:p>
      <w:pPr>
        <w:pStyle w:val="Heading4"/>
        <w:ind w:hanging="0" w:start="0"/>
        <w:rPr>
          <w:b w:val="false"/>
          <w:bCs w:val="false"/>
          <w:sz w:val="24"/>
        </w:rPr>
      </w:pPr>
      <w:r>
        <w:rPr>
          <w:b w:val="false"/>
          <w:bCs w:val="false"/>
          <w:sz w:val="24"/>
        </w:rPr>
        <w:t>distinction between “rate option” and the blunt force of a legislated rate;</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sz w:val="24"/>
        </w:rPr>
        <w:t>Capped retail rates create cost recovery / financing issues for utilities and can undermine the value of competitive options;</w:t>
      </w:r>
    </w:p>
    <w:p>
      <w:pPr>
        <w:pStyle w:val="Normal"/>
        <w:rPr>
          <w:rFonts w:ascii="Times New Roman" w:hAnsi="Times New Roman" w:cs="Times New Roman"/>
          <w:b/>
          <w:bCs/>
          <w:sz w:val="24"/>
        </w:rPr>
      </w:pPr>
      <w:r>
        <w:rPr>
          <w:rFonts w:cs="Times New Roman"/>
          <w:b/>
          <w:bCs/>
          <w:sz w:val="24"/>
        </w:rPr>
      </w:r>
    </w:p>
    <w:p>
      <w:pPr>
        <w:pStyle w:val="Heading1"/>
        <w:keepNext w:val="false"/>
        <w:ind w:hanging="0" w:start="0"/>
        <w:rPr/>
      </w:pPr>
      <w:r>
        <w:rPr/>
        <w:t>Developing Solutions and Options</w:t>
      </w:r>
    </w:p>
    <w:p>
      <w:pPr>
        <w:pStyle w:val="Normal"/>
        <w:rPr/>
      </w:pPr>
      <w:r>
        <w:rPr/>
      </w:r>
    </w:p>
    <w:p>
      <w:pPr>
        <w:pStyle w:val="Heading2"/>
        <w:keepNext w:val="false"/>
        <w:ind w:hanging="0" w:start="0"/>
        <w:rPr>
          <w:b/>
          <w:bCs/>
        </w:rPr>
      </w:pPr>
      <w:r>
        <w:rPr>
          <w:b/>
          <w:bCs/>
        </w:rPr>
        <w:t>Regulators, Consumers, Utilities, And Generators Must Recognize The Interrelationships Between The Retail And Wholesale Markets As Well As California’s Demands In Relation To The Western Interconnect;</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sz w:val="24"/>
        </w:rPr>
        <w:t>Changes to the retail market design and its improved operations can bring benefits to the functioning to the wholesale marketplace in California and the Western region;</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sz w:val="24"/>
        </w:rPr>
        <w:t>Load growth in California provides a supply opportunity for resources out-of-state;</w:t>
      </w:r>
    </w:p>
    <w:p>
      <w:pPr>
        <w:pStyle w:val="Normal"/>
        <w:rPr>
          <w:rFonts w:ascii="Times New Roman" w:hAnsi="Times New Roman" w:cs="Times New Roman"/>
          <w:b/>
          <w:bCs/>
          <w:sz w:val="24"/>
        </w:rPr>
      </w:pPr>
      <w:r>
        <w:rPr>
          <w:rFonts w:cs="Times New Roman"/>
          <w:b/>
          <w:bCs/>
          <w:sz w:val="24"/>
        </w:rPr>
      </w:r>
    </w:p>
    <w:p>
      <w:pPr>
        <w:pStyle w:val="Heading2"/>
        <w:keepNext w:val="false"/>
        <w:ind w:hanging="0" w:start="0"/>
        <w:rPr>
          <w:b/>
          <w:bCs/>
        </w:rPr>
      </w:pPr>
      <w:r>
        <w:rPr>
          <w:b/>
          <w:bCs/>
        </w:rPr>
        <w:t>Transitional Policies Developed Prior To Any Operational Experience Must Be Re-Examined In Light Of Current And Foreseeable Conditions And Experiences:</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Are We There Yet?:</w:t>
      </w:r>
      <w:r>
        <w:rPr>
          <w:rFonts w:cs="Times New Roman" w:ascii="Times New Roman" w:hAnsi="Times New Roman"/>
          <w:b w:val="false"/>
          <w:bCs w:val="false"/>
          <w:sz w:val="24"/>
        </w:rPr>
        <w:t xml:space="preserve">  Re-evaluation of the “transitional” nature of the wholesale and retail markets is required in light of the supply/demand imbalance and the need for conservation and demand responsiveness</w:t>
      </w:r>
    </w:p>
    <w:p>
      <w:pPr>
        <w:pStyle w:val="Heading4"/>
        <w:keepNext w:val="false"/>
        <w:ind w:hanging="0" w:start="0"/>
        <w:rPr>
          <w:b w:val="false"/>
          <w:bCs w:val="false"/>
          <w:sz w:val="24"/>
        </w:rPr>
      </w:pPr>
      <w:r>
        <w:rPr>
          <w:b w:val="false"/>
          <w:bCs w:val="false"/>
          <w:sz w:val="24"/>
        </w:rPr>
        <w:t>The expectation that markets can be restructured from tightly regulated monopolies to smoothly functioning transparent marketplaces in five years may not be reasonable;</w:t>
      </w:r>
    </w:p>
    <w:p>
      <w:pPr>
        <w:pStyle w:val="Heading4"/>
        <w:keepNext w:val="false"/>
        <w:ind w:hanging="0" w:start="0"/>
        <w:rPr>
          <w:b w:val="false"/>
          <w:bCs w:val="false"/>
          <w:sz w:val="24"/>
        </w:rPr>
      </w:pPr>
      <w:r>
        <w:rPr>
          <w:b w:val="false"/>
          <w:bCs w:val="false"/>
          <w:sz w:val="24"/>
        </w:rPr>
        <w:t>Redefining a series of “transition periods” may be needed to lessen disruptive effects and impacts on consumers and the economy while providing time and opportunity for new supply resources and responsive demand to grow;</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Taking A Hold of the Wheel</w:t>
      </w:r>
      <w:r>
        <w:rPr>
          <w:rFonts w:cs="Times New Roman" w:ascii="Times New Roman" w:hAnsi="Times New Roman"/>
          <w:b w:val="false"/>
          <w:bCs w:val="false"/>
          <w:sz w:val="24"/>
        </w:rPr>
        <w:t>: Efforts must be taken to significantly reduce regulatory and operational uncertainties going forward:</w:t>
      </w:r>
    </w:p>
    <w:p>
      <w:pPr>
        <w:pStyle w:val="Heading4"/>
        <w:keepNext w:val="false"/>
        <w:ind w:hanging="0" w:start="0"/>
        <w:rPr>
          <w:b w:val="false"/>
          <w:bCs w:val="false"/>
          <w:sz w:val="24"/>
        </w:rPr>
      </w:pPr>
      <w:r>
        <w:rPr>
          <w:b w:val="false"/>
          <w:bCs w:val="false"/>
          <w:sz w:val="24"/>
        </w:rPr>
        <w:t>Utilities desire increased certainty over cost recovery;  Concerns about cost recovery drives “inefficient” market behavior by the utilities as the dominate purchasers and elevates risk of system disruption as higher levels of demand are moved to the realtime markets;</w:t>
      </w:r>
    </w:p>
    <w:p>
      <w:pPr>
        <w:pStyle w:val="Heading4"/>
        <w:keepNext w:val="false"/>
        <w:ind w:hanging="0" w:start="0"/>
        <w:rPr>
          <w:b w:val="false"/>
          <w:bCs w:val="false"/>
          <w:sz w:val="24"/>
        </w:rPr>
      </w:pPr>
      <w:r>
        <w:rPr>
          <w:b w:val="false"/>
          <w:bCs w:val="false"/>
          <w:sz w:val="24"/>
        </w:rPr>
        <w:t>Developers and Owners want increased certainty and stability for the market rules;</w:t>
      </w:r>
    </w:p>
    <w:p>
      <w:pPr>
        <w:pStyle w:val="Heading5"/>
        <w:ind w:hanging="0" w:start="0"/>
        <w:rPr>
          <w:b w:val="false"/>
          <w:bCs w:val="false"/>
          <w:i w:val="false"/>
          <w:i w:val="false"/>
          <w:iCs w:val="false"/>
          <w:sz w:val="24"/>
        </w:rPr>
      </w:pPr>
      <w:r>
        <w:rPr>
          <w:b w:val="false"/>
          <w:bCs w:val="false"/>
          <w:i w:val="false"/>
          <w:iCs w:val="false"/>
          <w:sz w:val="24"/>
        </w:rPr>
        <w:t>Needed to signal conditions for rational investments;</w:t>
      </w:r>
    </w:p>
    <w:p>
      <w:pPr>
        <w:pStyle w:val="Heading5"/>
        <w:ind w:hanging="0" w:start="0"/>
        <w:rPr>
          <w:b w:val="false"/>
          <w:bCs w:val="false"/>
          <w:i w:val="false"/>
          <w:i w:val="false"/>
          <w:iCs w:val="false"/>
          <w:sz w:val="24"/>
        </w:rPr>
      </w:pPr>
      <w:r>
        <w:rPr>
          <w:b w:val="false"/>
          <w:bCs w:val="false"/>
          <w:i w:val="false"/>
          <w:iCs w:val="false"/>
          <w:sz w:val="24"/>
        </w:rPr>
        <w:t>Increased certainty and stability does not mean the rules must be inflexible or fixed, but rather that any changes are undertaken according to a measurable standards or conditions that are predefined, observable and relevant;</w:t>
      </w:r>
    </w:p>
    <w:p>
      <w:pPr>
        <w:pStyle w:val="Heading4"/>
        <w:keepNext w:val="false"/>
        <w:ind w:hanging="0" w:start="0"/>
        <w:rPr>
          <w:b w:val="false"/>
          <w:bCs w:val="false"/>
          <w:sz w:val="24"/>
        </w:rPr>
      </w:pPr>
      <w:r>
        <w:rPr>
          <w:b w:val="false"/>
          <w:bCs w:val="false"/>
          <w:sz w:val="24"/>
        </w:rPr>
        <w:t>System operator wants increased certainty regarding resource availability and behavior;</w:t>
      </w:r>
    </w:p>
    <w:p>
      <w:pPr>
        <w:pStyle w:val="Heading5"/>
        <w:ind w:hanging="0" w:start="0"/>
        <w:rPr>
          <w:b w:val="false"/>
          <w:bCs w:val="false"/>
          <w:i w:val="false"/>
          <w:i w:val="false"/>
          <w:iCs w:val="false"/>
          <w:sz w:val="24"/>
        </w:rPr>
      </w:pPr>
      <w:r>
        <w:rPr>
          <w:b w:val="false"/>
          <w:bCs w:val="false"/>
          <w:i w:val="false"/>
          <w:iCs w:val="false"/>
          <w:sz w:val="24"/>
        </w:rPr>
        <w:t>Operators desire to serve anticipated loads from resources scheduled well in advance, with any “imbalance” requirements due only from load forecasting error or changeable weather;</w:t>
      </w:r>
    </w:p>
    <w:p>
      <w:pPr>
        <w:pStyle w:val="Heading5"/>
        <w:ind w:hanging="0" w:start="0"/>
        <w:rPr>
          <w:b w:val="false"/>
          <w:bCs w:val="false"/>
          <w:i w:val="false"/>
          <w:i w:val="false"/>
          <w:iCs w:val="false"/>
          <w:sz w:val="24"/>
        </w:rPr>
      </w:pPr>
      <w:r>
        <w:rPr>
          <w:b w:val="false"/>
          <w:bCs w:val="false"/>
          <w:i w:val="false"/>
          <w:iCs w:val="false"/>
          <w:sz w:val="24"/>
        </w:rPr>
        <w:t>Primary concern should be provision of transmission and “backstop” provision of reliability services;</w:t>
      </w:r>
    </w:p>
    <w:p>
      <w:pPr>
        <w:pStyle w:val="Heading4"/>
        <w:keepNext w:val="false"/>
        <w:ind w:hanging="0" w:start="0"/>
        <w:rPr>
          <w:b w:val="false"/>
          <w:bCs w:val="false"/>
          <w:sz w:val="24"/>
        </w:rPr>
      </w:pPr>
      <w:r>
        <w:rPr>
          <w:b w:val="false"/>
          <w:bCs w:val="false"/>
          <w:sz w:val="24"/>
        </w:rPr>
        <w:t xml:space="preserve">Customers want increased stability, suitable service options for the customer type, ability to secure stable and forecastable prices, and value for any services they can provide. </w:t>
      </w:r>
    </w:p>
    <w:p>
      <w:pPr>
        <w:pStyle w:val="Heading5"/>
        <w:ind w:hanging="0" w:start="0"/>
        <w:rPr>
          <w:b w:val="false"/>
          <w:bCs w:val="false"/>
          <w:i w:val="false"/>
          <w:i w:val="false"/>
          <w:iCs w:val="false"/>
          <w:sz w:val="24"/>
        </w:rPr>
      </w:pPr>
      <w:r>
        <w:rPr>
          <w:b w:val="false"/>
          <w:bCs w:val="false"/>
          <w:i w:val="false"/>
          <w:iCs w:val="false"/>
          <w:sz w:val="24"/>
        </w:rPr>
        <w:t>Volatility, as well as elevated prices after years of rhetoric about lower prices, has customers angry and disillusioned about the “benefits” of restructuring.</w:t>
      </w:r>
    </w:p>
    <w:p>
      <w:pPr>
        <w:pStyle w:val="Normal"/>
        <w:rPr>
          <w:b/>
          <w:bCs/>
          <w:i/>
          <w:i/>
          <w:iCs/>
          <w:sz w:val="24"/>
        </w:rPr>
      </w:pPr>
      <w:r>
        <w:rPr>
          <w:b/>
          <w:bCs/>
          <w:i/>
          <w:iCs/>
          <w:sz w:val="24"/>
        </w:rPr>
      </w:r>
    </w:p>
    <w:p>
      <w:pPr>
        <w:pStyle w:val="Heading1"/>
        <w:keepNext w:val="false"/>
        <w:ind w:hanging="0" w:start="0"/>
        <w:rPr/>
      </w:pPr>
      <w:r>
        <w:rPr/>
        <w:t>Short Term Measures (Before and “for” Summer 2001)</w:t>
      </w:r>
    </w:p>
    <w:p>
      <w:pPr>
        <w:pStyle w:val="Normal"/>
        <w:rPr/>
      </w:pPr>
      <w:r>
        <w:rPr/>
      </w:r>
    </w:p>
    <w:p>
      <w:pPr>
        <w:pStyle w:val="Heading2"/>
        <w:keepNext w:val="false"/>
        <w:ind w:hanging="0" w:start="0"/>
        <w:rPr>
          <w:b/>
          <w:bCs/>
        </w:rPr>
      </w:pPr>
      <w:r>
        <w:rPr>
          <w:b/>
          <w:bCs/>
        </w:rPr>
        <w:t>Regulatory “Road Maps” or “Not Any Road Will Get You There”</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sz w:val="24"/>
        </w:rPr>
        <w:t xml:space="preserve">CPUC issued “Road Map” decisions indicating what and when certain issues would be addressed.  The CPUC has instituted a number of new proceedings (Wholesale OII, Interruptible OIR, PTR “Phase III”) but has failed to articulate a direction and timeline.  </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sz w:val="24"/>
        </w:rPr>
        <w:t>FERC issued a form of “road map” in its October 19 Order, [as well as the November 1 Order?]</w:t>
      </w:r>
    </w:p>
    <w:p>
      <w:pPr>
        <w:pStyle w:val="Normal"/>
        <w:rPr>
          <w:rFonts w:ascii="Times New Roman" w:hAnsi="Times New Roman" w:cs="Times New Roman"/>
          <w:b/>
          <w:bCs/>
          <w:sz w:val="24"/>
        </w:rPr>
      </w:pPr>
      <w:r>
        <w:rPr>
          <w:rFonts w:cs="Times New Roman"/>
          <w:b/>
          <w:bCs/>
          <w:sz w:val="24"/>
        </w:rPr>
      </w:r>
    </w:p>
    <w:p>
      <w:pPr>
        <w:pStyle w:val="Heading2"/>
        <w:keepNext w:val="false"/>
        <w:ind w:hanging="0" w:start="0"/>
        <w:rPr>
          <w:b/>
          <w:bCs/>
        </w:rPr>
      </w:pPr>
      <w:r>
        <w:rPr>
          <w:b/>
          <w:bCs/>
        </w:rPr>
        <w:t>Retail Market Design Improvements</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Unbundled Rates for Unbundled Services</w:t>
      </w:r>
      <w:r>
        <w:rPr>
          <w:rFonts w:cs="Times New Roman" w:ascii="Times New Roman" w:hAnsi="Times New Roman"/>
          <w:b w:val="false"/>
          <w:bCs w:val="false"/>
          <w:sz w:val="24"/>
        </w:rPr>
        <w:t>: Improvements in retail rate unbundling;</w:t>
      </w:r>
    </w:p>
    <w:p>
      <w:pPr>
        <w:pStyle w:val="Heading4"/>
        <w:keepNext w:val="false"/>
        <w:ind w:hanging="0" w:start="0"/>
        <w:rPr>
          <w:b w:val="false"/>
          <w:bCs w:val="false"/>
          <w:sz w:val="24"/>
        </w:rPr>
      </w:pPr>
      <w:r>
        <w:rPr>
          <w:b w:val="false"/>
          <w:bCs w:val="false"/>
          <w:sz w:val="24"/>
        </w:rPr>
        <w:t>Unbundled commodity rate issue still pending at CPUC;</w:t>
      </w:r>
    </w:p>
    <w:p>
      <w:pPr>
        <w:pStyle w:val="Heading4"/>
        <w:keepNext w:val="false"/>
        <w:ind w:hanging="0" w:start="0"/>
        <w:rPr>
          <w:b w:val="false"/>
          <w:bCs w:val="false"/>
          <w:sz w:val="24"/>
        </w:rPr>
      </w:pPr>
      <w:r>
        <w:rPr>
          <w:b w:val="false"/>
          <w:bCs w:val="false"/>
          <w:sz w:val="24"/>
        </w:rPr>
        <w:t>Retail Rate Design for Post Rate Freeze in light of SDG&amp;E Experience:</w:t>
      </w:r>
    </w:p>
    <w:p>
      <w:pPr>
        <w:pStyle w:val="Heading5"/>
        <w:ind w:hanging="0" w:start="0"/>
        <w:rPr>
          <w:b w:val="false"/>
          <w:bCs w:val="false"/>
          <w:i w:val="false"/>
          <w:i w:val="false"/>
          <w:iCs w:val="false"/>
          <w:sz w:val="24"/>
        </w:rPr>
      </w:pPr>
      <w:r>
        <w:rPr>
          <w:b w:val="false"/>
          <w:bCs w:val="false"/>
          <w:i w:val="false"/>
          <w:iCs w:val="false"/>
          <w:sz w:val="24"/>
        </w:rPr>
        <w:t>Fixed or Collared retail rate tied to development of active retail market options;</w:t>
      </w:r>
    </w:p>
    <w:p>
      <w:pPr>
        <w:pStyle w:val="Heading6"/>
        <w:ind w:hanging="0" w:start="0"/>
        <w:rPr>
          <w:b w:val="false"/>
          <w:bCs w:val="false"/>
          <w:sz w:val="24"/>
        </w:rPr>
      </w:pPr>
      <w:r>
        <w:rPr>
          <w:b w:val="false"/>
          <w:bCs w:val="false"/>
          <w:sz w:val="24"/>
        </w:rPr>
        <w:t>Assuming single, non-competitor “default rate” by UDCs, allow multi-year procurement latitude as a function of supply surplus.  Decrease volume of demand served by multi-year forwards and increase the default rate volatility after supply and service options conditions improve, with “return fee” to discourage seasonal return customers;</w:t>
      </w:r>
    </w:p>
    <w:p>
      <w:pPr>
        <w:pStyle w:val="Heading5"/>
        <w:ind w:hanging="0" w:start="0"/>
        <w:rPr>
          <w:b w:val="false"/>
          <w:bCs w:val="false"/>
          <w:i w:val="false"/>
          <w:i w:val="false"/>
          <w:iCs w:val="false"/>
          <w:sz w:val="24"/>
        </w:rPr>
      </w:pPr>
      <w:r>
        <w:rPr>
          <w:b w:val="false"/>
          <w:bCs w:val="false"/>
          <w:i w:val="false"/>
          <w:iCs w:val="false"/>
          <w:sz w:val="24"/>
        </w:rPr>
        <w:t>Menu of rate options with sunset provisions?;</w:t>
      </w:r>
    </w:p>
    <w:p>
      <w:pPr>
        <w:pStyle w:val="Heading6"/>
        <w:ind w:hanging="0" w:start="0"/>
        <w:rPr>
          <w:b w:val="false"/>
          <w:bCs w:val="false"/>
          <w:sz w:val="24"/>
        </w:rPr>
      </w:pPr>
      <w:r>
        <w:rPr>
          <w:b w:val="false"/>
          <w:bCs w:val="false"/>
          <w:sz w:val="24"/>
        </w:rPr>
        <w:t xml:space="preserve">Allow the incumbent to offer menu of service options (fixed rate, capped or collared rate, realtime rate, etc.) with utility at risk for losses; </w:t>
      </w:r>
    </w:p>
    <w:p>
      <w:pPr>
        <w:pStyle w:val="Heading7"/>
        <w:ind w:hanging="0" w:start="0"/>
        <w:rPr/>
      </w:pPr>
      <w:r>
        <w:rPr/>
        <w:t>Will utilities kill retail competition?</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What Do You Mean</w:t>
      </w:r>
      <w:r>
        <w:rPr>
          <w:rFonts w:cs="Times New Roman" w:ascii="Times New Roman" w:hAnsi="Times New Roman"/>
          <w:b w:val="false"/>
          <w:bCs w:val="false"/>
          <w:sz w:val="24"/>
        </w:rPr>
        <w:t>: Defining “Default Provider” and the Role of Utility</w:t>
      </w:r>
    </w:p>
    <w:p>
      <w:pPr>
        <w:pStyle w:val="Heading4"/>
        <w:keepNext w:val="false"/>
        <w:ind w:hanging="0" w:start="0"/>
        <w:rPr>
          <w:b w:val="false"/>
          <w:bCs w:val="false"/>
          <w:sz w:val="24"/>
        </w:rPr>
      </w:pPr>
      <w:r>
        <w:rPr>
          <w:b w:val="false"/>
          <w:bCs w:val="false"/>
          <w:sz w:val="24"/>
        </w:rPr>
        <w:t>“</w:t>
      </w:r>
      <w:r>
        <w:rPr>
          <w:b w:val="false"/>
          <w:bCs w:val="false"/>
          <w:sz w:val="24"/>
        </w:rPr>
        <w:t>Transition” vs. “Long-Run” definitions?  Should the definition anticipate change, or fix the result?</w:t>
      </w:r>
    </w:p>
    <w:p>
      <w:pPr>
        <w:pStyle w:val="Heading5"/>
        <w:ind w:hanging="0" w:start="0"/>
        <w:rPr>
          <w:b w:val="false"/>
          <w:bCs w:val="false"/>
          <w:i w:val="false"/>
          <w:i w:val="false"/>
          <w:iCs w:val="false"/>
          <w:sz w:val="24"/>
        </w:rPr>
      </w:pPr>
      <w:r>
        <w:rPr>
          <w:b w:val="false"/>
          <w:bCs w:val="false"/>
          <w:i w:val="false"/>
          <w:iCs w:val="false"/>
          <w:sz w:val="24"/>
        </w:rPr>
        <w:t>Multiphasic transition periods?  Should things change in stages, or should we pretend it all happens at once?</w:t>
      </w:r>
    </w:p>
    <w:p>
      <w:pPr>
        <w:pStyle w:val="Heading4"/>
        <w:keepNext w:val="false"/>
        <w:ind w:hanging="0" w:start="0"/>
        <w:rPr>
          <w:b w:val="false"/>
          <w:bCs w:val="false"/>
          <w:sz w:val="24"/>
        </w:rPr>
      </w:pPr>
      <w:r>
        <w:rPr>
          <w:b w:val="false"/>
          <w:bCs w:val="false"/>
          <w:sz w:val="24"/>
        </w:rPr>
        <w:t>Low Income and “CARE” customers.  The move to competition cannot extinguish existing social programs.</w:t>
      </w:r>
    </w:p>
    <w:p>
      <w:pPr>
        <w:pStyle w:val="Heading5"/>
        <w:ind w:hanging="0" w:start="0"/>
        <w:rPr>
          <w:b w:val="false"/>
          <w:bCs w:val="false"/>
          <w:i w:val="false"/>
          <w:i w:val="false"/>
          <w:iCs w:val="false"/>
          <w:sz w:val="24"/>
        </w:rPr>
      </w:pPr>
      <w:r>
        <w:rPr>
          <w:b w:val="false"/>
          <w:bCs w:val="false"/>
          <w:i w:val="false"/>
          <w:iCs w:val="false"/>
          <w:sz w:val="24"/>
        </w:rPr>
        <w:t>programs for those customers competitive providers will not serve; POLR customers.</w:t>
      </w:r>
    </w:p>
    <w:p>
      <w:pPr>
        <w:pStyle w:val="Heading5"/>
        <w:ind w:hanging="0" w:start="0"/>
        <w:rPr>
          <w:b w:val="false"/>
          <w:bCs w:val="false"/>
          <w:i w:val="false"/>
          <w:i w:val="false"/>
          <w:iCs w:val="false"/>
          <w:sz w:val="24"/>
        </w:rPr>
      </w:pPr>
      <w:r>
        <w:rPr>
          <w:b w:val="false"/>
          <w:bCs w:val="false"/>
          <w:i w:val="false"/>
          <w:iCs w:val="false"/>
          <w:sz w:val="24"/>
        </w:rPr>
        <w:t>Constituency is mobilized and inclined to “stop” restructuring.</w:t>
      </w:r>
    </w:p>
    <w:p>
      <w:pPr>
        <w:pStyle w:val="Heading2"/>
        <w:keepNext w:val="false"/>
        <w:numPr>
          <w:ilvl w:val="0"/>
          <w:numId w:val="0"/>
        </w:numPr>
        <w:ind w:hanging="0" w:start="720" w:end="0"/>
        <w:rPr>
          <w:b/>
          <w:bCs/>
          <w:i w:val="false"/>
          <w:i w:val="false"/>
          <w:iCs w:val="false"/>
          <w:sz w:val="24"/>
        </w:rPr>
      </w:pPr>
      <w:r>
        <w:rPr>
          <w:b/>
          <w:bCs/>
          <w:i w:val="false"/>
          <w:iCs w:val="false"/>
          <w:sz w:val="24"/>
        </w:rPr>
      </w:r>
    </w:p>
    <w:p>
      <w:pPr>
        <w:pStyle w:val="Heading2"/>
        <w:keepNext w:val="false"/>
        <w:ind w:hanging="0" w:start="0"/>
        <w:rPr>
          <w:b/>
          <w:bCs/>
        </w:rPr>
      </w:pPr>
      <w:r>
        <w:rPr>
          <w:b/>
          <w:bCs/>
        </w:rPr>
        <w:t>Improve Balance of Utility Default Procurement Portfolio</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 xml:space="preserve">The “Bilateral” Tool: </w:t>
      </w:r>
      <w:r>
        <w:rPr>
          <w:rFonts w:cs="Times New Roman" w:ascii="Times New Roman" w:hAnsi="Times New Roman"/>
          <w:b w:val="false"/>
          <w:bCs w:val="false"/>
          <w:sz w:val="24"/>
        </w:rPr>
        <w:t>Develop bilateral market for forward contracting by default provider</w:t>
      </w:r>
    </w:p>
    <w:p>
      <w:pPr>
        <w:pStyle w:val="Heading4"/>
        <w:ind w:hanging="0" w:start="0"/>
        <w:rPr>
          <w:b w:val="false"/>
          <w:bCs w:val="false"/>
          <w:sz w:val="24"/>
        </w:rPr>
      </w:pPr>
      <w:r>
        <w:rPr>
          <w:b w:val="false"/>
          <w:bCs w:val="false"/>
          <w:sz w:val="24"/>
        </w:rPr>
        <w:t>Contracting outside any exchange, with certain reporting and affiliate rule requirements;</w:t>
      </w:r>
    </w:p>
    <w:p>
      <w:pPr>
        <w:pStyle w:val="Heading4"/>
        <w:keepNext w:val="false"/>
        <w:ind w:hanging="0" w:start="0"/>
        <w:rPr>
          <w:b w:val="false"/>
          <w:bCs w:val="false"/>
          <w:sz w:val="24"/>
        </w:rPr>
      </w:pPr>
      <w:r>
        <w:rPr>
          <w:b w:val="false"/>
          <w:bCs w:val="false"/>
          <w:sz w:val="24"/>
        </w:rPr>
        <w:t>CPUC decision recently allowing UDC bilateral purchasing outside of the CalPX markets, but limiting position (Menlo p 6; Discussion in Wolak pp 6-11</w:t>
      </w:r>
    </w:p>
    <w:p>
      <w:pPr>
        <w:pStyle w:val="Heading4"/>
        <w:keepNext w:val="false"/>
        <w:ind w:hanging="0" w:start="0"/>
        <w:rPr>
          <w:b w:val="false"/>
          <w:bCs w:val="false"/>
          <w:sz w:val="24"/>
        </w:rPr>
      </w:pPr>
      <w:r>
        <w:rPr>
          <w:b w:val="false"/>
          <w:bCs w:val="false"/>
          <w:sz w:val="24"/>
        </w:rPr>
        <w:t>FERC Order?</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The Forwards Tool:</w:t>
      </w:r>
      <w:r>
        <w:rPr>
          <w:rFonts w:cs="Times New Roman" w:ascii="Times New Roman" w:hAnsi="Times New Roman"/>
          <w:b w:val="false"/>
          <w:bCs w:val="false"/>
          <w:sz w:val="24"/>
        </w:rPr>
        <w:t xml:space="preserve"> Allow UDC hedging on forward markets </w:t>
      </w:r>
    </w:p>
    <w:p>
      <w:pPr>
        <w:pStyle w:val="Heading4"/>
        <w:keepNext w:val="false"/>
        <w:ind w:hanging="0" w:start="0"/>
        <w:rPr>
          <w:b w:val="false"/>
          <w:bCs w:val="false"/>
          <w:sz w:val="24"/>
        </w:rPr>
      </w:pPr>
      <w:r>
        <w:rPr>
          <w:b w:val="false"/>
          <w:bCs w:val="false"/>
          <w:sz w:val="24"/>
        </w:rPr>
        <w:t>“</w:t>
      </w:r>
      <w:r>
        <w:rPr>
          <w:b w:val="false"/>
          <w:bCs w:val="false"/>
          <w:sz w:val="24"/>
        </w:rPr>
        <w:t>Remove impediments on UDC forward contracting for energy and ancillary services.” Wolak (conclusions)</w:t>
      </w:r>
    </w:p>
    <w:p>
      <w:pPr>
        <w:pStyle w:val="Heading4"/>
        <w:keepNext w:val="false"/>
        <w:ind w:hanging="0" w:start="0"/>
        <w:rPr>
          <w:b w:val="false"/>
          <w:bCs w:val="false"/>
          <w:sz w:val="24"/>
        </w:rPr>
      </w:pPr>
      <w:r>
        <w:rPr>
          <w:b w:val="false"/>
          <w:bCs w:val="false"/>
          <w:sz w:val="24"/>
        </w:rPr>
        <w:t>Create incentives for inter-SC trades of AS to reduce reliance on ISO as “sole source” for AS provision;</w:t>
      </w:r>
    </w:p>
    <w:p>
      <w:pPr>
        <w:pStyle w:val="Heading4"/>
        <w:keepNext w:val="false"/>
        <w:ind w:hanging="0" w:start="0"/>
        <w:rPr>
          <w:b w:val="false"/>
          <w:bCs w:val="false"/>
          <w:sz w:val="24"/>
        </w:rPr>
      </w:pPr>
      <w:r>
        <w:rPr>
          <w:b w:val="false"/>
          <w:bCs w:val="false"/>
          <w:sz w:val="24"/>
        </w:rPr>
        <w:t>Discussion in Wolak pp 6-11</w:t>
      </w:r>
    </w:p>
    <w:p>
      <w:pPr>
        <w:pStyle w:val="Heading5"/>
        <w:ind w:hanging="0" w:start="0"/>
        <w:rPr>
          <w:b w:val="false"/>
          <w:bCs w:val="false"/>
          <w:i w:val="false"/>
          <w:i w:val="false"/>
          <w:iCs w:val="false"/>
          <w:sz w:val="24"/>
        </w:rPr>
      </w:pPr>
      <w:r>
        <w:rPr>
          <w:b w:val="false"/>
          <w:bCs w:val="false"/>
          <w:i w:val="false"/>
          <w:iCs w:val="false"/>
          <w:sz w:val="24"/>
        </w:rPr>
        <w:t xml:space="preserve">Who carries the risk if hedge is bad?  </w:t>
      </w:r>
    </w:p>
    <w:p>
      <w:pPr>
        <w:pStyle w:val="Heading5"/>
        <w:ind w:hanging="0" w:start="0"/>
        <w:rPr>
          <w:b w:val="false"/>
          <w:bCs w:val="false"/>
          <w:i w:val="false"/>
          <w:i w:val="false"/>
          <w:iCs w:val="false"/>
          <w:sz w:val="24"/>
        </w:rPr>
      </w:pPr>
      <w:r>
        <w:rPr>
          <w:b w:val="false"/>
          <w:bCs w:val="false"/>
          <w:i w:val="false"/>
          <w:iCs w:val="false"/>
          <w:sz w:val="24"/>
        </w:rPr>
        <w:t>Consumer groups concern that they pay either way.</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Lifting the “Mandatory Buy/Sell Requirement”</w:t>
      </w:r>
      <w:r>
        <w:rPr>
          <w:rFonts w:cs="Times New Roman" w:ascii="Times New Roman" w:hAnsi="Times New Roman"/>
          <w:b w:val="false"/>
          <w:bCs w:val="false"/>
          <w:sz w:val="24"/>
        </w:rPr>
        <w:t>: Remove or scale back UDC buy/sell obligations into the CalPX</w:t>
      </w:r>
    </w:p>
    <w:p>
      <w:pPr>
        <w:pStyle w:val="Heading4"/>
        <w:ind w:hanging="0" w:start="0"/>
        <w:rPr>
          <w:b w:val="false"/>
          <w:bCs w:val="false"/>
          <w:sz w:val="24"/>
        </w:rPr>
      </w:pPr>
      <w:r>
        <w:rPr>
          <w:b w:val="false"/>
          <w:bCs w:val="false"/>
          <w:sz w:val="24"/>
        </w:rPr>
        <w:t>FERC Order</w:t>
      </w:r>
    </w:p>
    <w:p>
      <w:pPr>
        <w:pStyle w:val="Heading4"/>
        <w:ind w:hanging="0" w:start="0"/>
        <w:rPr>
          <w:b w:val="false"/>
          <w:bCs w:val="false"/>
          <w:sz w:val="24"/>
        </w:rPr>
      </w:pPr>
      <w:r>
        <w:rPr>
          <w:b w:val="false"/>
          <w:bCs w:val="false"/>
          <w:sz w:val="24"/>
        </w:rPr>
        <w:t>Does the PX need protection?  Require scheduling of forwarding in DA market?</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Exchange Competition:</w:t>
      </w:r>
      <w:r>
        <w:rPr>
          <w:rFonts w:cs="Times New Roman" w:ascii="Times New Roman" w:hAnsi="Times New Roman"/>
          <w:b w:val="false"/>
          <w:bCs w:val="false"/>
          <w:sz w:val="24"/>
        </w:rPr>
        <w:t xml:space="preserve"> Alternative exchanges?  Reversing recent legislation to allow purchases for competing exchanges such as APX or NYMEX?</w:t>
      </w:r>
    </w:p>
    <w:p>
      <w:pPr>
        <w:pStyle w:val="Heading4"/>
        <w:ind w:hanging="0" w:start="0"/>
        <w:rPr>
          <w:b w:val="false"/>
          <w:bCs w:val="false"/>
          <w:sz w:val="24"/>
        </w:rPr>
      </w:pPr>
      <w:r>
        <w:rPr>
          <w:b w:val="false"/>
          <w:bCs w:val="false"/>
          <w:sz w:val="24"/>
        </w:rPr>
        <w:t>Liquidity issues as CalPX has argued?</w:t>
      </w:r>
    </w:p>
    <w:p>
      <w:pPr>
        <w:pStyle w:val="Normal"/>
        <w:rPr>
          <w:b/>
          <w:bCs/>
          <w:sz w:val="24"/>
        </w:rPr>
      </w:pPr>
      <w:r>
        <w:rPr>
          <w:b/>
          <w:bCs/>
          <w:sz w:val="24"/>
        </w:rPr>
      </w:r>
    </w:p>
    <w:p>
      <w:pPr>
        <w:pStyle w:val="Heading2"/>
        <w:keepNext w:val="false"/>
        <w:ind w:hanging="0" w:start="0"/>
        <w:rPr>
          <w:b/>
          <w:bCs/>
        </w:rPr>
      </w:pPr>
      <w:r>
        <w:rPr>
          <w:b/>
          <w:bCs/>
        </w:rPr>
        <w:t>Create Regulatory Stability</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Easing the Jitters</w:t>
      </w:r>
      <w:r>
        <w:rPr>
          <w:rFonts w:cs="Times New Roman" w:ascii="Times New Roman" w:hAnsi="Times New Roman"/>
          <w:b w:val="false"/>
          <w:bCs w:val="false"/>
          <w:sz w:val="24"/>
        </w:rPr>
        <w:t>: Some semblance of regulatory stability from both CAISO/FERC and CPUC is needed to ensure appropriate investment in new resources;</w:t>
      </w:r>
    </w:p>
    <w:p>
      <w:pPr>
        <w:pStyle w:val="Heading4"/>
        <w:keepNext w:val="false"/>
        <w:ind w:hanging="0" w:start="0"/>
        <w:rPr>
          <w:b w:val="false"/>
          <w:bCs w:val="false"/>
          <w:sz w:val="24"/>
        </w:rPr>
      </w:pPr>
      <w:r>
        <w:rPr>
          <w:b w:val="false"/>
          <w:bCs w:val="false"/>
          <w:sz w:val="24"/>
        </w:rPr>
        <w:t xml:space="preserve">Leadership is needed in terms of moving process forward toward supply solutions and market options for consumers.  </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Find a Cap</w:t>
      </w:r>
      <w:r>
        <w:rPr>
          <w:rFonts w:cs="Times New Roman" w:ascii="Times New Roman" w:hAnsi="Times New Roman"/>
          <w:b w:val="false"/>
          <w:bCs w:val="false"/>
          <w:sz w:val="24"/>
        </w:rPr>
        <w:t>: Bi-weekly pursuit of price caps at CAISO undermines supply-side development.  Price caps have not been working, will stifle new supply projects as well as investments in conservation and/or development of demand responsiveness;</w:t>
      </w:r>
    </w:p>
    <w:p>
      <w:pPr>
        <w:pStyle w:val="Heading4"/>
        <w:keepNext w:val="false"/>
        <w:ind w:hanging="0" w:start="0"/>
        <w:rPr>
          <w:b w:val="false"/>
          <w:bCs w:val="false"/>
          <w:sz w:val="24"/>
        </w:rPr>
      </w:pPr>
      <w:r>
        <w:rPr>
          <w:b w:val="false"/>
          <w:bCs w:val="false"/>
          <w:sz w:val="24"/>
        </w:rPr>
        <w:t>FERC’s November 1 Order?</w:t>
      </w:r>
    </w:p>
    <w:p>
      <w:pPr>
        <w:pStyle w:val="Heading4"/>
        <w:keepNext w:val="false"/>
        <w:ind w:hanging="0" w:start="0"/>
        <w:rPr>
          <w:b w:val="false"/>
          <w:bCs w:val="false"/>
          <w:sz w:val="24"/>
        </w:rPr>
      </w:pPr>
      <w:r>
        <w:rPr>
          <w:b w:val="false"/>
          <w:bCs w:val="false"/>
          <w:sz w:val="24"/>
        </w:rPr>
        <w:t>Independent Board with advisory panel:</w:t>
      </w:r>
    </w:p>
    <w:p>
      <w:pPr>
        <w:pStyle w:val="Heading5"/>
        <w:ind w:hanging="0" w:start="0"/>
        <w:rPr>
          <w:b w:val="false"/>
          <w:bCs w:val="false"/>
          <w:i w:val="false"/>
          <w:i w:val="false"/>
          <w:iCs w:val="false"/>
          <w:sz w:val="24"/>
        </w:rPr>
      </w:pPr>
      <w:r>
        <w:rPr>
          <w:b w:val="false"/>
          <w:bCs w:val="false"/>
          <w:i w:val="false"/>
          <w:iCs w:val="false"/>
          <w:sz w:val="24"/>
        </w:rPr>
        <w:t>RTO direction;</w:t>
      </w:r>
    </w:p>
    <w:p>
      <w:pPr>
        <w:pStyle w:val="Heading5"/>
        <w:ind w:hanging="0" w:start="0"/>
        <w:rPr>
          <w:b w:val="false"/>
          <w:bCs w:val="false"/>
          <w:i w:val="false"/>
          <w:i w:val="false"/>
          <w:iCs w:val="false"/>
          <w:sz w:val="24"/>
        </w:rPr>
      </w:pPr>
      <w:r>
        <w:rPr>
          <w:b w:val="false"/>
          <w:bCs w:val="false"/>
          <w:i w:val="false"/>
          <w:iCs w:val="false"/>
          <w:sz w:val="24"/>
        </w:rPr>
        <w:t xml:space="preserve">Reflect regional needs </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Establish the Standards</w:t>
      </w:r>
      <w:r>
        <w:rPr>
          <w:rFonts w:cs="Times New Roman" w:ascii="Times New Roman" w:hAnsi="Times New Roman"/>
          <w:b w:val="false"/>
          <w:bCs w:val="false"/>
          <w:sz w:val="24"/>
        </w:rPr>
        <w:t>: CPUC needs to establish clear reasonableness standards or procurement guidelines to remove cost recovery uncertainties for the UDCs.</w:t>
      </w:r>
    </w:p>
    <w:p>
      <w:pPr>
        <w:pStyle w:val="Heading4"/>
        <w:keepNext w:val="false"/>
        <w:ind w:hanging="0" w:start="0"/>
        <w:rPr>
          <w:b w:val="false"/>
          <w:bCs w:val="false"/>
          <w:sz w:val="24"/>
        </w:rPr>
      </w:pPr>
      <w:r>
        <w:rPr>
          <w:b w:val="false"/>
          <w:bCs w:val="false"/>
          <w:sz w:val="24"/>
        </w:rPr>
        <w:t>UDCs fail to embrace a leadership role because they see too much risk of second-guessing by regulators and intervenors if they enter bilateral contracts and forward markets;</w:t>
      </w:r>
    </w:p>
    <w:p>
      <w:pPr>
        <w:pStyle w:val="Heading4"/>
        <w:keepNext w:val="false"/>
        <w:ind w:hanging="0" w:start="0"/>
        <w:rPr>
          <w:b w:val="false"/>
          <w:bCs w:val="false"/>
          <w:sz w:val="24"/>
        </w:rPr>
      </w:pPr>
      <w:r>
        <w:rPr>
          <w:b w:val="false"/>
          <w:bCs w:val="false"/>
          <w:sz w:val="24"/>
        </w:rPr>
        <w:t>Reevaluate proposals made in PTR case and remove uncertainty currently found in decisions allowing forward participation;</w:t>
      </w:r>
    </w:p>
    <w:p>
      <w:pPr>
        <w:pStyle w:val="Heading4"/>
        <w:keepNext w:val="false"/>
        <w:ind w:hanging="0" w:start="0"/>
        <w:rPr>
          <w:b w:val="false"/>
          <w:bCs w:val="false"/>
          <w:sz w:val="24"/>
        </w:rPr>
      </w:pPr>
      <w:r>
        <w:rPr>
          <w:b w:val="false"/>
          <w:bCs w:val="false"/>
          <w:sz w:val="24"/>
        </w:rPr>
        <w:t>Need to address process for “underrecoveries”</w:t>
      </w:r>
    </w:p>
    <w:p>
      <w:pPr>
        <w:pStyle w:val="Heading5"/>
        <w:ind w:hanging="0" w:start="0"/>
        <w:rPr>
          <w:b w:val="false"/>
          <w:bCs w:val="false"/>
          <w:i w:val="false"/>
          <w:i w:val="false"/>
          <w:iCs w:val="false"/>
          <w:sz w:val="24"/>
        </w:rPr>
      </w:pPr>
      <w:r>
        <w:rPr>
          <w:b w:val="false"/>
          <w:bCs w:val="false"/>
          <w:i w:val="false"/>
          <w:iCs w:val="false"/>
          <w:sz w:val="24"/>
        </w:rPr>
        <w:t>Current CPUC proceeding &amp; TURN “netting” application;</w:t>
      </w:r>
    </w:p>
    <w:p>
      <w:pPr>
        <w:pStyle w:val="Heading4"/>
        <w:keepNext w:val="false"/>
        <w:ind w:hanging="0" w:start="0"/>
        <w:rPr>
          <w:b w:val="false"/>
          <w:bCs w:val="false"/>
          <w:sz w:val="24"/>
        </w:rPr>
      </w:pPr>
      <w:r>
        <w:rPr>
          <w:b w:val="false"/>
          <w:bCs w:val="false"/>
          <w:sz w:val="24"/>
        </w:rPr>
        <w:t>See Wolak p 8</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Stranded Cost Collection</w:t>
      </w:r>
      <w:r>
        <w:rPr>
          <w:rFonts w:cs="Times New Roman" w:ascii="Times New Roman" w:hAnsi="Times New Roman"/>
          <w:b w:val="false"/>
          <w:bCs w:val="false"/>
          <w:sz w:val="24"/>
        </w:rPr>
        <w:t>: UDC’s need “opportunity” to collect stranded cost:</w:t>
      </w:r>
    </w:p>
    <w:p>
      <w:pPr>
        <w:pStyle w:val="Heading4"/>
        <w:keepNext w:val="false"/>
        <w:ind w:hanging="0" w:start="0"/>
        <w:rPr>
          <w:b w:val="false"/>
          <w:bCs w:val="false"/>
          <w:sz w:val="24"/>
        </w:rPr>
      </w:pPr>
      <w:r>
        <w:rPr>
          <w:b w:val="false"/>
          <w:bCs w:val="false"/>
          <w:sz w:val="24"/>
        </w:rPr>
        <w:t>May need to determine if there are stranded costs associated with any “retained assets” (including hydro).  QFs and other PPAs can be addressed on a forecast basis subject to adjustment in light of wholesale market performance (as SDG&amp;E did this year).</w:t>
      </w:r>
    </w:p>
    <w:p>
      <w:pPr>
        <w:pStyle w:val="Heading4"/>
        <w:keepNext w:val="false"/>
        <w:ind w:hanging="0" w:start="0"/>
        <w:rPr>
          <w:b w:val="false"/>
          <w:bCs w:val="false"/>
          <w:sz w:val="24"/>
        </w:rPr>
      </w:pPr>
      <w:r>
        <w:rPr>
          <w:b w:val="false"/>
          <w:bCs w:val="false"/>
          <w:sz w:val="24"/>
        </w:rPr>
        <w:t>Disconnect retail rate freeze from stranded cost recovery;</w:t>
      </w:r>
    </w:p>
    <w:p>
      <w:pPr>
        <w:pStyle w:val="Normal"/>
        <w:rPr>
          <w:b/>
          <w:bCs/>
          <w:sz w:val="24"/>
        </w:rPr>
      </w:pPr>
      <w:r>
        <w:rPr>
          <w:b/>
          <w:bCs/>
          <w:sz w:val="24"/>
        </w:rPr>
      </w:r>
    </w:p>
    <w:p>
      <w:pPr>
        <w:pStyle w:val="Heading1"/>
        <w:keepNext w:val="false"/>
        <w:ind w:hanging="0" w:start="0"/>
        <w:rPr/>
      </w:pPr>
      <w:r>
        <w:rPr/>
        <w:t>Longer Term Measures (Beyond Summer 2001)</w:t>
      </w:r>
    </w:p>
    <w:p>
      <w:pPr>
        <w:pStyle w:val="Normal"/>
        <w:rPr/>
      </w:pPr>
      <w:r>
        <w:rPr/>
      </w:r>
    </w:p>
    <w:p>
      <w:pPr>
        <w:pStyle w:val="Heading2"/>
        <w:keepNext w:val="false"/>
        <w:ind w:hanging="0" w:start="0"/>
        <w:rPr>
          <w:b/>
          <w:bCs/>
        </w:rPr>
      </w:pPr>
      <w:r>
        <w:rPr>
          <w:b/>
          <w:bCs/>
        </w:rPr>
        <w:t>Balance Supply and Demand</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New and Improved</w:t>
      </w:r>
      <w:r>
        <w:rPr>
          <w:rFonts w:cs="Times New Roman" w:ascii="Times New Roman" w:hAnsi="Times New Roman"/>
          <w:b w:val="false"/>
          <w:bCs w:val="false"/>
          <w:sz w:val="24"/>
        </w:rPr>
        <w:t>: Promote New Supply Construction</w:t>
      </w:r>
    </w:p>
    <w:p>
      <w:pPr>
        <w:pStyle w:val="Heading4"/>
        <w:ind w:hanging="0" w:start="0"/>
        <w:rPr>
          <w:b w:val="false"/>
          <w:bCs w:val="false"/>
          <w:sz w:val="24"/>
        </w:rPr>
      </w:pPr>
      <w:r>
        <w:rPr>
          <w:b w:val="false"/>
          <w:bCs w:val="false"/>
          <w:sz w:val="24"/>
        </w:rPr>
        <w:t>“</w:t>
      </w:r>
      <w:r>
        <w:rPr>
          <w:b w:val="false"/>
          <w:bCs w:val="false"/>
          <w:sz w:val="24"/>
        </w:rPr>
        <w:t>California needs to build two new power plants per year just to keep pace with load growth.” (Menlo p 8)</w:t>
      </w:r>
    </w:p>
    <w:p>
      <w:pPr>
        <w:pStyle w:val="Heading4"/>
        <w:keepNext w:val="false"/>
        <w:ind w:hanging="0" w:start="0"/>
        <w:rPr>
          <w:b w:val="false"/>
          <w:bCs w:val="false"/>
          <w:sz w:val="24"/>
        </w:rPr>
      </w:pPr>
      <w:r>
        <w:rPr>
          <w:b w:val="false"/>
          <w:bCs w:val="false"/>
          <w:sz w:val="24"/>
        </w:rPr>
        <w:t xml:space="preserve">Support meaningful expedited siting rules for power plants and transmission improvements: </w:t>
      </w:r>
    </w:p>
    <w:p>
      <w:pPr>
        <w:pStyle w:val="Heading5"/>
        <w:ind w:hanging="0" w:start="0"/>
        <w:rPr>
          <w:b w:val="false"/>
          <w:bCs w:val="false"/>
          <w:i w:val="false"/>
          <w:i w:val="false"/>
          <w:iCs w:val="false"/>
          <w:sz w:val="24"/>
        </w:rPr>
      </w:pPr>
      <w:r>
        <w:rPr>
          <w:b w:val="false"/>
          <w:bCs w:val="false"/>
          <w:i w:val="false"/>
          <w:iCs w:val="false"/>
          <w:sz w:val="24"/>
        </w:rPr>
        <w:t xml:space="preserve">Provide authority for a local agency to rely upon the CEC’s Final Staff Assessment for purposes of CEQA when considering changes to local ordinances, standards or regulations; </w:t>
      </w:r>
    </w:p>
    <w:p>
      <w:pPr>
        <w:pStyle w:val="Heading5"/>
        <w:ind w:hanging="0" w:start="0"/>
        <w:rPr>
          <w:b w:val="false"/>
          <w:bCs w:val="false"/>
          <w:i w:val="false"/>
          <w:i w:val="false"/>
          <w:iCs w:val="false"/>
          <w:sz w:val="24"/>
        </w:rPr>
      </w:pPr>
      <w:r>
        <w:rPr>
          <w:b w:val="false"/>
          <w:bCs w:val="false"/>
          <w:i w:val="false"/>
          <w:iCs w:val="false"/>
          <w:sz w:val="24"/>
        </w:rPr>
        <w:t xml:space="preserve">Direct the CEC to skip the Preliminary Staff Assessment under certain conditions for certain types of projects; </w:t>
      </w:r>
    </w:p>
    <w:p>
      <w:pPr>
        <w:pStyle w:val="Heading5"/>
        <w:ind w:hanging="0" w:start="0"/>
        <w:rPr>
          <w:b w:val="false"/>
          <w:bCs w:val="false"/>
          <w:i w:val="false"/>
          <w:i w:val="false"/>
          <w:iCs w:val="false"/>
          <w:sz w:val="24"/>
        </w:rPr>
      </w:pPr>
      <w:r>
        <w:rPr>
          <w:b w:val="false"/>
          <w:bCs w:val="false"/>
          <w:i w:val="false"/>
          <w:iCs w:val="false"/>
          <w:sz w:val="24"/>
        </w:rPr>
        <w:t xml:space="preserve">prohibit the application of </w:t>
      </w:r>
      <w:r>
        <w:rPr>
          <w:b w:val="false"/>
          <w:bCs w:val="false"/>
          <w:sz w:val="24"/>
        </w:rPr>
        <w:t>ex parte</w:t>
      </w:r>
      <w:r>
        <w:rPr>
          <w:b w:val="false"/>
          <w:bCs w:val="false"/>
          <w:i w:val="false"/>
          <w:iCs w:val="false"/>
          <w:sz w:val="24"/>
        </w:rPr>
        <w:t xml:space="preserve"> communication rules to parties other than ultimate decision-makers—i.e.,  commissioners and commissioner advisors; </w:t>
      </w:r>
    </w:p>
    <w:p>
      <w:pPr>
        <w:pStyle w:val="Heading5"/>
        <w:ind w:hanging="0" w:start="0"/>
        <w:rPr>
          <w:b w:val="false"/>
          <w:bCs w:val="false"/>
          <w:i w:val="false"/>
          <w:i w:val="false"/>
          <w:iCs w:val="false"/>
          <w:sz w:val="24"/>
        </w:rPr>
      </w:pPr>
      <w:r>
        <w:rPr>
          <w:b w:val="false"/>
          <w:bCs w:val="false"/>
          <w:i w:val="false"/>
          <w:iCs w:val="false"/>
          <w:sz w:val="24"/>
        </w:rPr>
        <w:t xml:space="preserve">prohibit the relitigation of issues settled by local air districts and regional water quality control boards.  </w:t>
      </w:r>
    </w:p>
    <w:p>
      <w:pPr>
        <w:pStyle w:val="Heading4"/>
        <w:keepNext w:val="false"/>
        <w:ind w:hanging="0" w:start="0"/>
        <w:rPr>
          <w:b w:val="false"/>
          <w:bCs w:val="false"/>
          <w:sz w:val="24"/>
        </w:rPr>
      </w:pPr>
      <w:r>
        <w:rPr>
          <w:b w:val="false"/>
          <w:bCs w:val="false"/>
          <w:sz w:val="24"/>
        </w:rPr>
        <w:t>Other regulatory impediments—see Menlo p 13</w:t>
      </w:r>
    </w:p>
    <w:p>
      <w:pPr>
        <w:pStyle w:val="Heading4"/>
        <w:keepNext w:val="false"/>
        <w:ind w:hanging="0" w:start="0"/>
        <w:rPr>
          <w:b w:val="false"/>
          <w:bCs w:val="false"/>
          <w:sz w:val="24"/>
        </w:rPr>
      </w:pPr>
      <w:r>
        <w:rPr>
          <w:b w:val="false"/>
          <w:bCs w:val="false"/>
          <w:sz w:val="24"/>
        </w:rPr>
        <w:t>Rules for new and expanded interconnections;</w:t>
      </w:r>
    </w:p>
    <w:p>
      <w:pPr>
        <w:pStyle w:val="Heading4"/>
        <w:keepNext w:val="false"/>
        <w:ind w:hanging="0" w:start="0"/>
        <w:rPr>
          <w:b w:val="false"/>
          <w:bCs w:val="false"/>
          <w:sz w:val="24"/>
        </w:rPr>
      </w:pPr>
      <w:r>
        <w:rPr>
          <w:b w:val="false"/>
          <w:bCs w:val="false"/>
          <w:sz w:val="24"/>
        </w:rPr>
        <w:t>Gas transportation sufficiency;</w:t>
      </w:r>
    </w:p>
    <w:p>
      <w:pPr>
        <w:pStyle w:val="Heading4"/>
        <w:keepNext w:val="false"/>
        <w:ind w:hanging="0" w:start="0"/>
        <w:rPr>
          <w:b w:val="false"/>
          <w:bCs w:val="false"/>
          <w:sz w:val="24"/>
        </w:rPr>
      </w:pPr>
      <w:r>
        <w:rPr>
          <w:b w:val="false"/>
          <w:bCs w:val="false"/>
          <w:sz w:val="24"/>
        </w:rPr>
        <w:t>Resource diversity and environmental considerations?</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 xml:space="preserve">Fixing the Electron Highway: </w:t>
      </w:r>
      <w:r>
        <w:rPr>
          <w:rFonts w:cs="Times New Roman" w:ascii="Times New Roman" w:hAnsi="Times New Roman"/>
          <w:b w:val="false"/>
          <w:bCs w:val="false"/>
          <w:sz w:val="24"/>
        </w:rPr>
        <w:t>Transmission expansion</w:t>
      </w:r>
    </w:p>
    <w:p>
      <w:pPr>
        <w:pStyle w:val="Heading4"/>
        <w:keepNext w:val="false"/>
        <w:ind w:hanging="0" w:start="0"/>
        <w:rPr>
          <w:b w:val="false"/>
          <w:bCs w:val="false"/>
          <w:sz w:val="24"/>
        </w:rPr>
      </w:pPr>
      <w:r>
        <w:rPr>
          <w:b w:val="false"/>
          <w:bCs w:val="false"/>
          <w:sz w:val="24"/>
        </w:rPr>
        <w:t>Support meaningful expedited siting</w:t>
      </w:r>
    </w:p>
    <w:p>
      <w:pPr>
        <w:pStyle w:val="Heading4"/>
        <w:keepNext w:val="false"/>
        <w:ind w:hanging="0" w:start="0"/>
        <w:rPr>
          <w:b w:val="false"/>
          <w:bCs w:val="false"/>
          <w:sz w:val="24"/>
        </w:rPr>
      </w:pPr>
      <w:r>
        <w:rPr>
          <w:b w:val="false"/>
          <w:bCs w:val="false"/>
          <w:sz w:val="24"/>
        </w:rPr>
        <w:t>Wires / Non-wires competition?</w:t>
      </w:r>
    </w:p>
    <w:p>
      <w:pPr>
        <w:pStyle w:val="Heading3"/>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Gas Transportation</w:t>
      </w:r>
      <w:r>
        <w:rPr>
          <w:rFonts w:cs="Times New Roman" w:ascii="Times New Roman" w:hAnsi="Times New Roman"/>
          <w:b w:val="false"/>
          <w:bCs w:val="false"/>
          <w:sz w:val="24"/>
        </w:rPr>
        <w:t>: intrastate capacity sufficiency issues must move in lock-step to insure additional capacity can run when needed.</w:t>
      </w:r>
    </w:p>
    <w:p>
      <w:pPr>
        <w:pStyle w:val="Normal"/>
        <w:rPr>
          <w:rFonts w:ascii="Times New Roman" w:hAnsi="Times New Roman" w:cs="Times New Roman"/>
          <w:b/>
          <w:bCs/>
          <w:sz w:val="24"/>
        </w:rPr>
      </w:pPr>
      <w:r>
        <w:rPr>
          <w:rFonts w:cs="Times New Roman"/>
          <w:b/>
          <w:bCs/>
          <w:sz w:val="24"/>
        </w:rPr>
      </w:r>
    </w:p>
    <w:p>
      <w:pPr>
        <w:pStyle w:val="Heading2"/>
        <w:keepNext w:val="false"/>
        <w:ind w:hanging="0" w:start="0"/>
        <w:rPr>
          <w:b/>
          <w:bCs/>
        </w:rPr>
      </w:pPr>
      <w:r>
        <w:rPr>
          <w:b/>
          <w:bCs/>
        </w:rPr>
        <w:t>Demand Side Improvements</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Where’s the Elasticity?:</w:t>
      </w:r>
      <w:r>
        <w:rPr>
          <w:rFonts w:cs="Times New Roman" w:ascii="Times New Roman" w:hAnsi="Times New Roman"/>
          <w:b w:val="false"/>
          <w:bCs w:val="false"/>
          <w:sz w:val="24"/>
        </w:rPr>
        <w:t xml:space="preserve"> Create demand responsiveness to variable price signals that reflect the value of energy.</w:t>
      </w:r>
    </w:p>
    <w:p>
      <w:pPr>
        <w:pStyle w:val="Heading4"/>
        <w:keepNext w:val="false"/>
        <w:ind w:hanging="0" w:start="0"/>
        <w:rPr>
          <w:b w:val="false"/>
          <w:bCs w:val="false"/>
          <w:sz w:val="24"/>
        </w:rPr>
      </w:pPr>
      <w:r>
        <w:rPr>
          <w:b w:val="false"/>
          <w:bCs w:val="false"/>
          <w:sz w:val="24"/>
        </w:rPr>
        <w:t>Installation of real-time meters to provide opportunity for customers to benefit where they can respond to price signals;</w:t>
      </w:r>
    </w:p>
    <w:p>
      <w:pPr>
        <w:pStyle w:val="Heading5"/>
        <w:ind w:hanging="0" w:start="0"/>
        <w:rPr>
          <w:b w:val="false"/>
          <w:bCs w:val="false"/>
          <w:i w:val="false"/>
          <w:i w:val="false"/>
          <w:iCs w:val="false"/>
          <w:sz w:val="24"/>
        </w:rPr>
      </w:pPr>
      <w:r>
        <w:rPr>
          <w:b w:val="false"/>
          <w:bCs w:val="false"/>
          <w:i w:val="false"/>
          <w:iCs w:val="false"/>
          <w:sz w:val="24"/>
        </w:rPr>
        <w:t>relationship to “load profiling” and associated problems.</w:t>
      </w:r>
    </w:p>
    <w:p>
      <w:pPr>
        <w:pStyle w:val="Heading5"/>
        <w:ind w:hanging="0" w:start="0"/>
        <w:rPr>
          <w:b w:val="false"/>
          <w:bCs w:val="false"/>
          <w:i w:val="false"/>
          <w:i w:val="false"/>
          <w:iCs w:val="false"/>
          <w:sz w:val="24"/>
        </w:rPr>
      </w:pPr>
      <w:r>
        <w:rPr>
          <w:b w:val="false"/>
          <w:bCs w:val="false"/>
          <w:i w:val="false"/>
          <w:iCs w:val="false"/>
          <w:sz w:val="24"/>
        </w:rPr>
        <w:t>cost-benefit for smaller customers, or simply larger ratebase?</w:t>
      </w:r>
    </w:p>
    <w:p>
      <w:pPr>
        <w:pStyle w:val="Heading6"/>
        <w:ind w:hanging="0" w:start="0"/>
        <w:rPr>
          <w:b w:val="false"/>
          <w:bCs w:val="false"/>
          <w:sz w:val="24"/>
        </w:rPr>
      </w:pPr>
      <w:r>
        <w:rPr>
          <w:b w:val="false"/>
          <w:bCs w:val="false"/>
          <w:sz w:val="24"/>
        </w:rPr>
        <w:t>metering competition?</w:t>
      </w:r>
    </w:p>
    <w:p>
      <w:pPr>
        <w:pStyle w:val="Heading5"/>
        <w:ind w:hanging="0" w:start="0"/>
        <w:rPr>
          <w:b w:val="false"/>
          <w:bCs w:val="false"/>
          <w:i w:val="false"/>
          <w:i w:val="false"/>
          <w:iCs w:val="false"/>
          <w:sz w:val="24"/>
        </w:rPr>
      </w:pPr>
      <w:r>
        <w:rPr>
          <w:b w:val="false"/>
          <w:bCs w:val="false"/>
          <w:i w:val="false"/>
          <w:iCs w:val="false"/>
          <w:sz w:val="24"/>
        </w:rPr>
        <w:t>Customers who cannot shift loads, such as hospitals, schools, offices</w:t>
      </w:r>
    </w:p>
    <w:p>
      <w:pPr>
        <w:pStyle w:val="Heading4"/>
        <w:keepNext w:val="false"/>
        <w:ind w:hanging="0" w:start="0"/>
        <w:rPr>
          <w:b w:val="false"/>
          <w:bCs w:val="false"/>
          <w:sz w:val="24"/>
        </w:rPr>
      </w:pPr>
      <w:r>
        <w:rPr>
          <w:b w:val="false"/>
          <w:bCs w:val="false"/>
          <w:sz w:val="24"/>
        </w:rPr>
        <w:t xml:space="preserve"> “</w:t>
      </w:r>
      <w:r>
        <w:rPr>
          <w:b w:val="false"/>
          <w:bCs w:val="false"/>
          <w:sz w:val="24"/>
        </w:rPr>
        <w:t>Significant benefits could be realized if just 10% of the total load were response to price.” (Menlo p 8)</w:t>
      </w:r>
    </w:p>
    <w:p>
      <w:pPr>
        <w:pStyle w:val="Heading4"/>
        <w:keepNext w:val="false"/>
        <w:ind w:hanging="0" w:start="0"/>
        <w:rPr>
          <w:b w:val="false"/>
          <w:bCs w:val="false"/>
          <w:sz w:val="24"/>
        </w:rPr>
      </w:pPr>
      <w:r>
        <w:rPr>
          <w:b w:val="false"/>
          <w:bCs w:val="false"/>
          <w:sz w:val="24"/>
        </w:rPr>
        <w:t>See Menlo pp 25-28 and Wolak pp 18-20 for discussion of need for demand responsiveness</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Waste Not a Watt</w:t>
      </w:r>
      <w:r>
        <w:rPr>
          <w:rFonts w:cs="Times New Roman" w:ascii="Times New Roman" w:hAnsi="Times New Roman"/>
          <w:b w:val="false"/>
          <w:bCs w:val="false"/>
          <w:sz w:val="24"/>
        </w:rPr>
        <w:t>: Encourage cost-effective, appropriate conservation (per Dynegy bullets, p 2)</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Demand Reduction Markets</w:t>
      </w:r>
      <w:r>
        <w:rPr>
          <w:rFonts w:cs="Times New Roman" w:ascii="Times New Roman" w:hAnsi="Times New Roman"/>
          <w:b w:val="false"/>
          <w:bCs w:val="false"/>
          <w:sz w:val="24"/>
        </w:rPr>
        <w:t>: Create next generation of “interruptible” rate options, including aggregation of energy and / or capacity.</w:t>
      </w:r>
    </w:p>
    <w:p>
      <w:pPr>
        <w:pStyle w:val="Normal"/>
        <w:rPr>
          <w:rFonts w:ascii="Times New Roman" w:hAnsi="Times New Roman" w:cs="Times New Roman"/>
          <w:b/>
          <w:bCs/>
          <w:sz w:val="24"/>
        </w:rPr>
      </w:pPr>
      <w:r>
        <w:rPr>
          <w:rFonts w:cs="Times New Roman"/>
          <w:b/>
          <w:bCs/>
          <w:sz w:val="24"/>
        </w:rPr>
      </w:r>
    </w:p>
    <w:p>
      <w:pPr>
        <w:pStyle w:val="Heading2"/>
        <w:keepNext w:val="false"/>
        <w:ind w:hanging="0" w:start="0"/>
        <w:rPr>
          <w:b/>
          <w:bCs/>
        </w:rPr>
      </w:pPr>
      <w:r>
        <w:rPr>
          <w:b/>
          <w:bCs/>
        </w:rPr>
        <w:t>Develop Meaningful and Robust Retail Competition</w:t>
      </w:r>
    </w:p>
    <w:p>
      <w:pPr>
        <w:pStyle w:val="Heading3"/>
        <w:keepNext w:val="false"/>
        <w:ind w:hanging="0" w:start="0"/>
        <w:rPr>
          <w:rFonts w:ascii="Times New Roman" w:hAnsi="Times New Roman" w:cs="Times New Roman"/>
          <w:b w:val="false"/>
          <w:bCs w:val="false"/>
          <w:sz w:val="24"/>
        </w:rPr>
      </w:pPr>
      <w:r>
        <w:rPr>
          <w:rFonts w:cs="Times New Roman" w:ascii="Times New Roman" w:hAnsi="Times New Roman"/>
          <w:b w:val="false"/>
          <w:bCs w:val="false"/>
          <w:i/>
          <w:iCs/>
          <w:sz w:val="24"/>
        </w:rPr>
        <w:t>Assist the Providers in Fixing the Market</w:t>
      </w:r>
      <w:r>
        <w:rPr>
          <w:rFonts w:cs="Times New Roman" w:ascii="Times New Roman" w:hAnsi="Times New Roman"/>
          <w:b w:val="false"/>
          <w:bCs w:val="false"/>
          <w:sz w:val="24"/>
        </w:rPr>
        <w:t>: IEP should look to Alliance for Retail Markets (ARM) / Enron for leadership on this issue:</w:t>
      </w:r>
    </w:p>
    <w:p>
      <w:pPr>
        <w:pStyle w:val="Heading4"/>
        <w:ind w:hanging="0" w:start="0"/>
        <w:rPr>
          <w:b w:val="false"/>
          <w:bCs w:val="false"/>
          <w:sz w:val="24"/>
        </w:rPr>
      </w:pPr>
      <w:r>
        <w:rPr>
          <w:b w:val="false"/>
          <w:bCs w:val="false"/>
          <w:sz w:val="24"/>
        </w:rPr>
        <w:t>Shoppers credits to appropriately encourage ESPs in retail markets;</w:t>
      </w:r>
    </w:p>
    <w:p>
      <w:pPr>
        <w:pStyle w:val="Heading4"/>
        <w:ind w:hanging="0" w:start="0"/>
        <w:rPr>
          <w:b w:val="false"/>
          <w:bCs w:val="false"/>
          <w:sz w:val="24"/>
        </w:rPr>
      </w:pPr>
      <w:r>
        <w:rPr>
          <w:b w:val="false"/>
          <w:bCs w:val="false"/>
          <w:sz w:val="24"/>
        </w:rPr>
        <w:t>Consider “core / non-core” market structure: similar to that used for natural gas, similar to the original retail competition “phase-in” proffered in the Blue Book:</w:t>
      </w:r>
    </w:p>
    <w:p>
      <w:pPr>
        <w:pStyle w:val="Heading5"/>
        <w:ind w:hanging="0" w:start="0"/>
        <w:rPr>
          <w:b w:val="false"/>
          <w:bCs w:val="false"/>
          <w:i w:val="false"/>
          <w:i w:val="false"/>
          <w:iCs w:val="false"/>
          <w:sz w:val="24"/>
        </w:rPr>
      </w:pPr>
      <w:r>
        <w:rPr>
          <w:b w:val="false"/>
          <w:bCs w:val="false"/>
          <w:i w:val="false"/>
          <w:iCs w:val="false"/>
          <w:sz w:val="24"/>
        </w:rPr>
        <w:t>Initial competition for larger “non-core” customers only;</w:t>
      </w:r>
    </w:p>
    <w:p>
      <w:pPr>
        <w:pStyle w:val="Heading5"/>
        <w:ind w:hanging="0" w:start="0"/>
        <w:rPr>
          <w:b w:val="false"/>
          <w:bCs w:val="false"/>
          <w:i w:val="false"/>
          <w:i w:val="false"/>
          <w:iCs w:val="false"/>
          <w:sz w:val="24"/>
        </w:rPr>
      </w:pPr>
      <w:r>
        <w:rPr>
          <w:b w:val="false"/>
          <w:bCs w:val="false"/>
          <w:i w:val="false"/>
          <w:iCs w:val="false"/>
          <w:sz w:val="24"/>
        </w:rPr>
        <w:t>“</w:t>
      </w:r>
      <w:r>
        <w:rPr>
          <w:b w:val="false"/>
          <w:bCs w:val="false"/>
          <w:i w:val="false"/>
          <w:iCs w:val="false"/>
          <w:sz w:val="24"/>
        </w:rPr>
        <w:t>Phase in” to core customers as market becomes more robust in terms of surplus supply and multiple retail providers;</w:t>
      </w:r>
    </w:p>
    <w:p>
      <w:pPr>
        <w:pStyle w:val="Heading4"/>
        <w:ind w:hanging="0" w:start="0"/>
        <w:rPr>
          <w:b w:val="false"/>
          <w:bCs w:val="false"/>
          <w:sz w:val="24"/>
        </w:rPr>
      </w:pPr>
      <w:r>
        <w:rPr>
          <w:b w:val="false"/>
          <w:bCs w:val="false"/>
          <w:sz w:val="24"/>
        </w:rPr>
        <w:t>“</w:t>
      </w:r>
      <w:r>
        <w:rPr>
          <w:b w:val="false"/>
          <w:bCs w:val="false"/>
          <w:sz w:val="24"/>
        </w:rPr>
        <w:t>Price to Beat” market structure: pre-established price perhaps indexed to changes in gas prices</w:t>
      </w:r>
    </w:p>
    <w:p>
      <w:pPr>
        <w:pStyle w:val="Heading5"/>
        <w:ind w:hanging="0" w:start="0"/>
        <w:rPr>
          <w:b w:val="false"/>
          <w:bCs w:val="false"/>
          <w:i w:val="false"/>
          <w:i w:val="false"/>
          <w:iCs w:val="false"/>
          <w:sz w:val="24"/>
        </w:rPr>
      </w:pPr>
      <w:r>
        <w:rPr>
          <w:b w:val="false"/>
          <w:bCs w:val="false"/>
          <w:i w:val="false"/>
          <w:iCs w:val="false"/>
          <w:sz w:val="24"/>
        </w:rPr>
        <w:t>Provides a benchmark for competition and a more stable retail rate for customers and utility cost recovery;</w:t>
      </w:r>
    </w:p>
    <w:p>
      <w:pPr>
        <w:pStyle w:val="Heading6"/>
        <w:ind w:hanging="0" w:start="0"/>
        <w:rPr>
          <w:b w:val="false"/>
          <w:bCs w:val="false"/>
          <w:sz w:val="24"/>
        </w:rPr>
      </w:pPr>
      <w:r>
        <w:rPr>
          <w:b w:val="false"/>
          <w:bCs w:val="false"/>
          <w:sz w:val="24"/>
        </w:rPr>
        <w:t>incentive to utility to lower costs, similar to “traditional” PBR rate designs;</w:t>
      </w:r>
    </w:p>
    <w:p>
      <w:pPr>
        <w:pStyle w:val="Heading3"/>
        <w:ind w:hanging="0" w:start="0"/>
        <w:rPr>
          <w:b w:val="false"/>
          <w:bCs w:val="false"/>
          <w:sz w:val="24"/>
        </w:rPr>
      </w:pPr>
      <w:r>
        <w:rPr>
          <w:rFonts w:cs="Times New Roman" w:ascii="Times New Roman" w:hAnsi="Times New Roman"/>
          <w:b w:val="false"/>
          <w:bCs w:val="false"/>
          <w:i/>
          <w:iCs/>
          <w:sz w:val="24"/>
        </w:rPr>
        <w:t>Revived Rate Freeze</w:t>
      </w:r>
      <w:r>
        <w:rPr>
          <w:rFonts w:cs="Times New Roman" w:ascii="Times New Roman" w:hAnsi="Times New Roman"/>
          <w:b w:val="false"/>
          <w:bCs w:val="false"/>
          <w:sz w:val="24"/>
        </w:rPr>
        <w:t xml:space="preserve">: Maintain and extend a retail rate freeze until 2003, with provisions that give utilities a </w:t>
      </w:r>
      <w:r>
        <w:rPr>
          <w:rFonts w:cs="Times New Roman" w:ascii="Times New Roman" w:hAnsi="Times New Roman"/>
          <w:b w:val="false"/>
          <w:bCs w:val="false"/>
          <w:i/>
          <w:iCs/>
          <w:sz w:val="24"/>
        </w:rPr>
        <w:t>reasonable opportunity</w:t>
      </w:r>
      <w:r>
        <w:rPr>
          <w:rFonts w:cs="Times New Roman" w:ascii="Times New Roman" w:hAnsi="Times New Roman"/>
          <w:b w:val="false"/>
          <w:bCs w:val="false"/>
          <w:sz w:val="24"/>
        </w:rPr>
        <w:t xml:space="preserve"> to recover undercollected commodity costs from Summer 2000 along with any other stranded costs</w:t>
      </w:r>
      <w:r>
        <w:rPr>
          <w:b w:val="false"/>
          <w:bCs w:val="false"/>
          <w:sz w:val="24"/>
        </w:rPr>
        <w:t xml:space="preserve">.  </w:t>
      </w:r>
    </w:p>
    <w:p>
      <w:pPr>
        <w:pStyle w:val="Header"/>
        <w:tabs>
          <w:tab w:val="clear" w:pos="4320"/>
          <w:tab w:val="clear" w:pos="8640"/>
        </w:tabs>
        <w:rPr>
          <w:b/>
          <w:bCs/>
          <w:sz w:val="24"/>
        </w:rPr>
      </w:pPr>
      <w:r>
        <w:rPr>
          <w:b/>
          <w:bCs/>
          <w:sz w:val="24"/>
        </w:rPr>
      </w:r>
    </w:p>
    <w:p>
      <w:pPr>
        <w:pStyle w:val="Heading3"/>
        <w:keepNext w:val="false"/>
        <w:ind w:hanging="0" w:start="0"/>
        <w:rPr>
          <w:b w:val="false"/>
          <w:bCs w:val="false"/>
          <w:sz w:val="24"/>
        </w:rPr>
      </w:pPr>
      <w:r>
        <w:rPr>
          <w:rFonts w:cs="Times New Roman" w:ascii="Times New Roman" w:hAnsi="Times New Roman"/>
          <w:b w:val="false"/>
          <w:bCs w:val="false"/>
          <w:i/>
          <w:iCs/>
          <w:sz w:val="24"/>
        </w:rPr>
        <w:t>Stranded Cost Elements</w:t>
      </w:r>
      <w:r>
        <w:rPr>
          <w:rFonts w:cs="Times New Roman" w:ascii="Times New Roman" w:hAnsi="Times New Roman"/>
          <w:b w:val="false"/>
          <w:bCs w:val="false"/>
          <w:sz w:val="24"/>
        </w:rPr>
        <w:t>: Current residual CTC recovery structure dampens price responsiveness (Wolak p 5)</w:t>
      </w:r>
    </w:p>
    <w:p>
      <w:pPr>
        <w:pStyle w:val="Heading4"/>
        <w:keepNext w:val="false"/>
        <w:ind w:hanging="0" w:start="0"/>
        <w:rPr>
          <w:b w:val="false"/>
          <w:bCs w:val="false"/>
          <w:sz w:val="24"/>
        </w:rPr>
      </w:pPr>
      <w:r>
        <w:rPr>
          <w:b w:val="false"/>
          <w:bCs w:val="false"/>
          <w:sz w:val="24"/>
        </w:rPr>
        <w:t>Replace the “residual” calculation with forecast CTC level with subsequent adjustment per SDG&amp;E’s “rebate” earlier this year for the QF and PPA costs;</w:t>
      </w:r>
    </w:p>
    <w:p>
      <w:pPr>
        <w:pStyle w:val="Heading2"/>
        <w:numPr>
          <w:ilvl w:val="0"/>
          <w:numId w:val="0"/>
        </w:numPr>
        <w:ind w:hanging="0" w:start="720" w:end="0"/>
        <w:rPr>
          <w:b/>
          <w:bCs/>
          <w:sz w:val="24"/>
        </w:rPr>
      </w:pPr>
      <w:r>
        <w:rPr>
          <w:b/>
          <w:bCs/>
          <w:sz w:val="24"/>
        </w:rPr>
      </w:r>
    </w:p>
    <w:p>
      <w:pPr>
        <w:pStyle w:val="Heading2"/>
        <w:ind w:hanging="0" w:start="0"/>
        <w:rPr>
          <w:b/>
          <w:bCs/>
        </w:rPr>
      </w:pPr>
      <w:r>
        <w:rPr>
          <w:b/>
          <w:bCs/>
        </w:rPr>
        <w:t>IEP Retail / Demand Proposal: combination of steps to expand retail market, create price responsive demand, and expand conservation.</w:t>
      </w:r>
    </w:p>
    <w:p>
      <w:pPr>
        <w:pStyle w:val="Heading3"/>
        <w:ind w:hanging="0" w:start="0"/>
        <w:rPr>
          <w:rFonts w:ascii="Times New Roman" w:hAnsi="Times New Roman" w:cs="Times New Roman"/>
          <w:b w:val="false"/>
          <w:bCs w:val="false"/>
          <w:sz w:val="24"/>
          <w:u w:val="single"/>
        </w:rPr>
      </w:pPr>
      <w:r>
        <w:rPr>
          <w:rFonts w:cs="Times New Roman" w:ascii="Times New Roman" w:hAnsi="Times New Roman"/>
          <w:b w:val="false"/>
          <w:bCs w:val="false"/>
          <w:sz w:val="24"/>
        </w:rPr>
        <w:t xml:space="preserve">Direct the CPUC to develop and implement market-based programs making at least 10% of the total load responsive to price signals that are not artificially capped by state or federal regulation.  </w:t>
      </w:r>
    </w:p>
    <w:p>
      <w:pPr>
        <w:pStyle w:val="Heading3"/>
        <w:ind w:hanging="0" w:start="0"/>
        <w:rPr>
          <w:rFonts w:ascii="Times New Roman" w:hAnsi="Times New Roman" w:cs="Times New Roman"/>
          <w:b w:val="false"/>
          <w:bCs w:val="false"/>
          <w:sz w:val="24"/>
        </w:rPr>
      </w:pPr>
      <w:r>
        <w:rPr>
          <w:rFonts w:cs="Times New Roman" w:ascii="Times New Roman" w:hAnsi="Times New Roman"/>
          <w:b w:val="false"/>
          <w:bCs w:val="false"/>
          <w:sz w:val="24"/>
        </w:rPr>
        <w:t xml:space="preserve">Require installation of real-time meters necessary to create price responsive load consistent with prior point and develop a phase-in of real-time meters for all customers.  </w:t>
      </w:r>
    </w:p>
    <w:p>
      <w:pPr>
        <w:pStyle w:val="Heading3"/>
        <w:ind w:hanging="0" w:start="0"/>
        <w:rPr>
          <w:rFonts w:ascii="Times New Roman" w:hAnsi="Times New Roman" w:cs="Times New Roman"/>
          <w:b w:val="false"/>
          <w:bCs w:val="false"/>
          <w:sz w:val="24"/>
        </w:rPr>
      </w:pPr>
      <w:r>
        <w:rPr>
          <w:rFonts w:cs="Times New Roman" w:ascii="Times New Roman" w:hAnsi="Times New Roman"/>
          <w:b w:val="false"/>
          <w:bCs w:val="false"/>
          <w:color w:val="000000"/>
          <w:sz w:val="24"/>
          <w:szCs w:val="56"/>
        </w:rPr>
        <w:t xml:space="preserve">Direct the CPUC and the CEC to pursue all cost-effective conservation in their funding and regulatory programs.  </w:t>
      </w:r>
    </w:p>
    <w:p>
      <w:pPr>
        <w:pStyle w:val="Heading3"/>
        <w:ind w:hanging="0" w:start="0"/>
        <w:rPr>
          <w:rFonts w:ascii="Times New Roman" w:hAnsi="Times New Roman" w:cs="Times New Roman"/>
          <w:b w:val="false"/>
          <w:bCs w:val="false"/>
          <w:sz w:val="24"/>
        </w:rPr>
      </w:pPr>
      <w:r>
        <w:rPr>
          <w:rFonts w:cs="Times New Roman" w:ascii="Times New Roman" w:hAnsi="Times New Roman"/>
          <w:b w:val="false"/>
          <w:bCs w:val="false"/>
          <w:color w:val="000000"/>
          <w:sz w:val="24"/>
          <w:szCs w:val="56"/>
        </w:rPr>
        <w:t>Institute an auction for retail customers that has the effect of moving customers from the UDCs to qualified ESPs</w:t>
      </w:r>
    </w:p>
    <w:p>
      <w:pPr>
        <w:pStyle w:val="Heading4"/>
        <w:keepNext w:val="false"/>
        <w:numPr>
          <w:ilvl w:val="0"/>
          <w:numId w:val="0"/>
        </w:numPr>
        <w:spacing w:before="240" w:after="60"/>
        <w:ind w:hanging="0" w:start="2160" w:end="0"/>
        <w:rPr>
          <w:rFonts w:ascii="Times New Roman" w:hAnsi="Times New Roman" w:cs="Times New Roman"/>
          <w:b w:val="false"/>
          <w:bCs w:val="false"/>
          <w:sz w:val="24"/>
        </w:rPr>
      </w:pPr>
      <w:r>
        <w:rPr>
          <w:rFonts w:cs="Times New Roman"/>
          <w:b w:val="false"/>
          <w:bCs w:val="false"/>
          <w:sz w:val="24"/>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9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t>IEP Market Response: Development of Options and Solution</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18</w:t>
    </w:r>
    <w:r>
      <w:rPr>
        <w:rStyle w:val="PageNumber"/>
      </w:rPr>
      <w:fldChar w:fldCharType="end"/>
    </w:r>
  </w:p>
  <w:p>
    <w:pPr>
      <w:pStyle w:val="Header"/>
      <w:rPr/>
    </w:pPr>
    <w:r>
      <w:rPr>
        <w:rStyle w:val="PageNumber"/>
      </w:rPr>
      <w:t>November 1, 2000</w:t>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360"/>
      <w:jc w:val="center"/>
      <w:rPr>
        <w:smallCaps/>
        <w:szCs w:val="24"/>
      </w:rPr>
    </w:pPr>
    <w:r>
      <w:rPr>
        <w:smallCaps/>
        <w:color w:val="008080"/>
        <w:sz w:val="26"/>
        <w:szCs w:val="26"/>
      </w:rPr>
      <w:t>Ellison, Schneider &amp; Harris L.L.P.</w:t>
    </w:r>
  </w:p>
  <w:p>
    <w:pPr>
      <w:pStyle w:val="Normal"/>
      <w:spacing w:lineRule="atLeast" w:line="312"/>
      <w:jc w:val="center"/>
      <w:rPr>
        <w:smallCaps/>
        <w:szCs w:val="24"/>
      </w:rPr>
    </w:pPr>
    <w:r>
      <w:rPr>
        <w:smallCaps/>
        <w:sz w:val="22"/>
        <w:szCs w:val="22"/>
      </w:rPr>
      <w:t>Attorneys at Law</w:t>
    </w:r>
  </w:p>
  <w:p>
    <w:pPr>
      <w:pStyle w:val="Normal"/>
      <w:jc w:val="center"/>
      <w:rPr/>
    </w:pPr>
    <w:r>
      <w:rPr>
        <w:smallCaps/>
      </w:rPr>
      <w:t>2015 H</w:t>
    </w:r>
    <w:r>
      <w:fldChar w:fldCharType="begin"/>
    </w:r>
    <w:r>
      <w:rPr>
        <w:smallCaps/>
      </w:rPr>
      <w:instrText xml:space="preserve">ADVANCE \r 0</w:instrText>
    </w:r>
    <w:r>
      <w:rPr>
        <w:smallCaps/>
      </w:rPr>
    </w:r>
    <w:r>
      <w:rPr>
        <w:smallCaps/>
      </w:rPr>
      <w:fldChar w:fldCharType="separate"/>
    </w:r>
    <w:r>
      <w:rPr>
        <w:smallCaps/>
      </w:rPr>
    </w:r>
    <w:r>
      <w:rPr>
        <w:smallCaps/>
      </w:rPr>
    </w:r>
    <w:r>
      <w:rPr>
        <w:smallCaps/>
      </w:rPr>
      <w:fldChar w:fldCharType="end"/>
    </w:r>
    <w:r>
      <w:rPr>
        <w:smallCaps/>
      </w:rPr>
      <w:t xml:space="preserve"> Street</w:t>
    </w:r>
  </w:p>
  <w:p>
    <w:pPr>
      <w:pStyle w:val="Normal"/>
      <w:jc w:val="center"/>
      <w:rPr>
        <w:smallCaps/>
      </w:rPr>
    </w:pPr>
    <w:r>
      <w:rPr>
        <w:smallCaps/>
      </w:rPr>
      <w:t>Sacramento, California  95814-3109</w:t>
    </w:r>
  </w:p>
  <w:p>
    <w:pPr>
      <w:pStyle w:val="Normal"/>
      <w:jc w:val="center"/>
      <w:rPr>
        <w:szCs w:val="24"/>
      </w:rPr>
    </w:pPr>
    <w:r>
      <w:rPr>
        <w:smallCaps/>
      </w:rPr>
      <w:t>Telephone (916) 447-2166   Fax (916) 447-3512</w:t>
    </w:r>
  </w:p>
  <w:p>
    <w:pPr>
      <w:pStyle w:val="Header"/>
      <w:rPr>
        <w:szCs w:val="24"/>
      </w:rPr>
    </w:pPr>
    <w:r>
      <w:rPr>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isLgl/>
      <w:numFmt w:val="upperRoman"/>
      <w:lvlText w:val="%1."/>
      <w:lvlJc w:val="start"/>
      <w:pPr>
        <w:tabs>
          <w:tab w:val="num" w:pos="720"/>
        </w:tabs>
        <w:ind w:start="0" w:hanging="0"/>
      </w:pPr>
      <w:rPr/>
    </w:lvl>
    <w:lvl w:ilvl="1">
      <w:start w:val="1"/>
      <w:pStyle w:val="Heading2"/>
      <w:numFmt w:val="upperLetter"/>
      <w:lvlText w:val="%2."/>
      <w:lvlJc w:val="start"/>
      <w:pPr>
        <w:tabs>
          <w:tab w:val="num" w:pos="1080"/>
        </w:tabs>
        <w:ind w:start="720" w:hanging="0"/>
      </w:pPr>
      <w:rPr/>
    </w:lvl>
    <w:lvl w:ilvl="2">
      <w:start w:val="1"/>
      <w:pStyle w:val="Heading3"/>
      <w:numFmt w:val="decimal"/>
      <w:lvlText w:val="%3."/>
      <w:lvlJc w:val="start"/>
      <w:pPr>
        <w:tabs>
          <w:tab w:val="num" w:pos="1800"/>
        </w:tabs>
        <w:ind w:start="1440" w:hanging="0"/>
      </w:pPr>
      <w:rPr/>
    </w:lvl>
    <w:lvl w:ilvl="3">
      <w:start w:val="1"/>
      <w:pStyle w:val="Heading4"/>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i/>
      <w:iCs/>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style>
  <w:style w:type="character" w:styleId="WW8Num2z5">
    <w:name w:val="WW8Num2z5"/>
    <w:qFormat/>
    <w:rPr>
      <w:rFonts w:ascii="Wingdings" w:hAnsi="Wingdings" w:cs="Wingdings"/>
    </w:rPr>
  </w:style>
  <w:style w:type="character" w:styleId="WW8Num3z0">
    <w:name w:val="WW8Num3z0"/>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re">
    <w:name w:val="re"/>
    <w:basedOn w:val="Normal"/>
    <w:qFormat/>
    <w:pPr>
      <w:tabs>
        <w:tab w:val="left" w:pos="720" w:leader="none"/>
        <w:tab w:val="left" w:pos="1440" w:leader="none"/>
      </w:tabs>
      <w:ind w:hanging="1440" w:start="1440" w:end="0"/>
    </w:pPr>
    <w:rPr/>
  </w:style>
  <w:style w:type="paragraph" w:styleId="FootnoteText">
    <w:name w:val="footnote text"/>
    <w:basedOn w:val="Normal"/>
    <w:pPr/>
    <w:rPr>
      <w:sz w:val="20"/>
    </w:rPr>
  </w:style>
  <w:style w:type="paragraph" w:styleId="doubleindent">
    <w:name w:val="double indent"/>
    <w:basedOn w:val="Normal"/>
    <w:qFormat/>
    <w:pPr>
      <w:autoSpaceDE w:val="false"/>
      <w:ind w:hanging="0" w:start="710" w:end="698"/>
      <w:jc w:val="both"/>
    </w:pPr>
    <w:rPr/>
  </w:style>
  <w:style w:type="paragraph" w:styleId="BodyTextIndent">
    <w:name w:val="Body Text Indent"/>
    <w:basedOn w:val="Normal"/>
    <w:pPr>
      <w:ind w:firstLine="72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esh memo format with eltr header.dot</Template>
  <TotalTime>526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2000-10-31T22:04:00Z</dcterms:created>
  <dc:creator>Andrew Brown</dc:creator>
  <dc:description/>
  <dc:language>en-CA</dc:language>
  <cp:lastModifiedBy>Andrew Brown</cp:lastModifiedBy>
  <cp:lastPrinted>2000-11-01T19:57:00Z</cp:lastPrinted>
  <dcterms:modified xsi:type="dcterms:W3CDTF">2000-11-02T02:14:00Z</dcterms:modified>
  <cp:revision>24</cp:revision>
  <dc:subject/>
  <dc:title>CONFIDENTIAL AND PRIVILEGED ATTORNEY-CLIENT COMMUNICATION</dc:title>
</cp:coreProperties>
</file>