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Jan Smutny-Jones</w:t>
      </w:r>
    </w:p>
    <w:p>
      <w:pPr>
        <w:pStyle w:val="Normal"/>
        <w:tabs>
          <w:tab w:val="left" w:pos="720" w:leader="none"/>
          <w:tab w:val="left" w:pos="1440" w:leader="none"/>
        </w:tabs>
        <w:ind w:hanging="1440" w:start="1440" w:end="0"/>
        <w:rPr/>
      </w:pPr>
      <w:r>
        <w:rPr/>
        <w:tab/>
        <w:tab/>
        <w:t>Steven Kelly</w:t>
      </w:r>
    </w:p>
    <w:p>
      <w:pPr>
        <w:pStyle w:val="Normal"/>
        <w:tabs>
          <w:tab w:val="left" w:pos="720" w:leader="none"/>
          <w:tab w:val="left" w:pos="1440" w:leader="none"/>
        </w:tabs>
        <w:ind w:hanging="1440" w:start="1440" w:end="0"/>
        <w:rPr/>
      </w:pPr>
      <w:r>
        <w:rPr/>
        <w:tab/>
        <w:tab/>
        <w:t>Katie Kaplan</w:t>
      </w:r>
    </w:p>
    <w:p>
      <w:pPr>
        <w:pStyle w:val="Normal"/>
        <w:tabs>
          <w:tab w:val="left" w:pos="720" w:leader="none"/>
          <w:tab w:val="left" w:pos="1440" w:leader="none"/>
        </w:tabs>
        <w:ind w:hanging="1440" w:start="1440" w:end="0"/>
        <w:rPr/>
      </w:pPr>
      <w:r>
        <w:rPr/>
        <w:tab/>
        <w:t>cc:</w:t>
        <w:tab/>
        <w:t>Douglas Kerner</w:t>
      </w:r>
    </w:p>
    <w:p>
      <w:pPr>
        <w:pStyle w:val="Normal"/>
        <w:tabs>
          <w:tab w:val="left" w:pos="720" w:leader="none"/>
          <w:tab w:val="left" w:pos="1440" w:leader="none"/>
        </w:tabs>
        <w:ind w:hanging="1440" w:start="1440" w:end="0"/>
        <w:rPr/>
      </w:pPr>
      <w:r>
        <w:rPr/>
        <w:tab/>
        <w:tab/>
        <w:t>Bob Weisenmiller</w:t>
      </w:r>
    </w:p>
    <w:p>
      <w:pPr>
        <w:pStyle w:val="Normal"/>
        <w:rPr/>
      </w:pPr>
      <w:r>
        <w:rPr/>
      </w:r>
    </w:p>
    <w:p>
      <w:pPr>
        <w:pStyle w:val="Normal"/>
        <w:tabs>
          <w:tab w:val="left" w:pos="720" w:leader="none"/>
          <w:tab w:val="left" w:pos="1440" w:leader="none"/>
        </w:tabs>
        <w:ind w:hanging="1440" w:start="1440" w:end="0"/>
        <w:rPr/>
      </w:pPr>
      <w:r>
        <w:rPr/>
        <w:t>FROM:</w:t>
        <w:tab/>
        <w:t>Andy Brown</w:t>
      </w:r>
    </w:p>
    <w:p>
      <w:pPr>
        <w:pStyle w:val="Normal"/>
        <w:rPr/>
      </w:pPr>
      <w:r>
        <w:rPr/>
      </w:r>
    </w:p>
    <w:p>
      <w:pPr>
        <w:pStyle w:val="Normal"/>
        <w:tabs>
          <w:tab w:val="left" w:pos="720" w:leader="none"/>
          <w:tab w:val="left" w:pos="1440" w:leader="none"/>
        </w:tabs>
        <w:ind w:hanging="1440" w:start="1440" w:end="0"/>
        <w:rPr/>
      </w:pPr>
      <w:r>
        <w:rPr/>
        <w:t>RE:</w:t>
        <w:tab/>
        <w:tab/>
        <w:t>FERC’s November 1 Order on California Markets</w:t>
      </w:r>
    </w:p>
    <w:p>
      <w:pPr>
        <w:pStyle w:val="Normal"/>
        <w:rPr/>
      </w:pPr>
      <w:r>
        <w:rPr/>
      </w:r>
    </w:p>
    <w:p>
      <w:pPr>
        <w:pStyle w:val="Normal"/>
        <w:rPr/>
      </w:pPr>
      <w:r>
        <w:rPr/>
        <w:t>DATE:</w:t>
        <w:tab/>
        <w:tab/>
        <w:t>November 2, 2000</w: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ab/>
        <w:t>This memorandum provides a brief overview of the November 1, 2000, Federal Energy Regulatory Commission ("FERC" or "Commission") Order regarding the California market structure.  It follows the basic structure of the order itself, but significantly paraphrases the contents.  Comments on the FERC proposals are due November 22.  The filing maintains the $250 price cap ($100 for replacement reserve) for the next 60 days and rejects the CalPX and CAISO price cap filings in dockets ER00-3461 and ER00-3673, and renders the October 25, 2000 CAISO Board actions for the load differentiated price caps “null and void”.</w:t>
      </w:r>
      <w:r>
        <w:rPr>
          <w:rStyle w:val="FootnoteCharacters"/>
          <w:rStyle w:val="FootnoteReference"/>
        </w:rPr>
        <w:footnoteReference w:id="2"/>
      </w:r>
    </w:p>
    <w:p>
      <w:pPr>
        <w:pStyle w:val="Normal"/>
        <w:spacing w:before="240" w:after="0"/>
        <w:rPr/>
      </w:pPr>
      <w:r>
        <w:rPr/>
        <w:tab/>
        <w:t>The Order, as well as the FERC Staff Report (</w:t>
      </w:r>
      <w:r>
        <w:rPr>
          <w:i/>
          <w:iCs/>
          <w:szCs w:val="44"/>
        </w:rPr>
        <w:t>Staff Report to the Federal Energy Regulatory Commission on Western Markets and the Causes of the Summer 2000 Price Abnormalities</w:t>
      </w:r>
      <w:r>
        <w:rPr>
          <w:szCs w:val="44"/>
        </w:rPr>
        <w:t>) are now posted on the CAISO website.  We have also forwarded the materials for requesting time to speak at the November 9 meeting at FERC.</w:t>
      </w:r>
    </w:p>
    <w:p>
      <w:pPr>
        <w:pStyle w:val="Header"/>
        <w:tabs>
          <w:tab w:val="clear" w:pos="4320"/>
          <w:tab w:val="clear" w:pos="8640"/>
        </w:tabs>
        <w:rPr/>
      </w:pPr>
      <w:r>
        <w:rPr/>
      </w:r>
    </w:p>
    <w:p>
      <w:pPr>
        <w:pStyle w:val="Normal"/>
        <w:rPr>
          <w:u w:val="single"/>
        </w:rPr>
      </w:pPr>
      <w:r>
        <w:rPr>
          <w:u w:val="single"/>
        </w:rPr>
        <w:t>Executive Summary</w:t>
      </w:r>
    </w:p>
    <w:p>
      <w:pPr>
        <w:pStyle w:val="Normal"/>
        <w:rPr/>
      </w:pPr>
      <w:r>
        <w:rPr/>
      </w:r>
    </w:p>
    <w:p>
      <w:pPr>
        <w:pStyle w:val="Header"/>
        <w:tabs>
          <w:tab w:val="clear" w:pos="4320"/>
          <w:tab w:val="clear" w:pos="8640"/>
        </w:tabs>
        <w:rPr/>
      </w:pPr>
      <w:r>
        <w:rPr/>
        <w:tab/>
        <w:t>The Order finds that, under certain conditions and in light of the supply imbalance, rates for “short-term energy” (Day-Ahead, Day-Of, Ancillary Services and real-time energy) are at times unjust and unreasonable.  While no specific instances of abuse of market power have been found, “there is clear evidence that the California market structure and rules provide the opportunity for sellers to exercise market power when supply is tight” leading to unjust and unreasonable rates.</w:t>
      </w:r>
      <w:r>
        <w:rPr>
          <w:rStyle w:val="FootnoteCharacters"/>
          <w:rStyle w:val="FootnoteReference"/>
        </w:rPr>
        <w:footnoteReference w:id="3"/>
      </w:r>
      <w:r>
        <w:rPr/>
        <w:t xml:space="preserve">  (Unfortunately, FERC is defining “market power” in terms of pricing above short-run marginal costs.)  To remedy the problems, FERC proposes a number of “fundamental modifications” (detailed below) and price mitigation measures (price caps) to be in effect while changes are underway.  Refund conditions remain in effect as previously adopted, and seller’s market based rate authority will be conditioned upon an extension of the refund period through December 31, 2002.</w:t>
      </w:r>
    </w:p>
    <w:p>
      <w:pPr>
        <w:pStyle w:val="Header"/>
        <w:tabs>
          <w:tab w:val="clear" w:pos="4320"/>
          <w:tab w:val="clear" w:pos="8640"/>
        </w:tabs>
        <w:rPr/>
      </w:pPr>
      <w:r>
        <w:rPr/>
      </w:r>
    </w:p>
    <w:p>
      <w:pPr>
        <w:pStyle w:val="Normal"/>
        <w:rPr/>
      </w:pPr>
      <w:r>
        <w:rPr/>
        <w:tab/>
        <w:t xml:space="preserve">The Order highlights the need to address issues that border on the jurisdictional division between FERC and the California Public Utilities Commission ("CPUC" or "California Commission").  In strong language FERC notes that, while it has been accommodating in the past to California’s restructuring desires, it must now step in because failure to act would be an abdication of its responsibilities under the FPA.  FERC outlines a number of steps that the CPUC should contemplate undertaking. </w:t>
      </w:r>
    </w:p>
    <w:p>
      <w:pPr>
        <w:pStyle w:val="Header"/>
        <w:tabs>
          <w:tab w:val="clear" w:pos="4320"/>
          <w:tab w:val="clear" w:pos="8640"/>
        </w:tabs>
        <w:rPr/>
      </w:pPr>
      <w:r>
        <w:rPr/>
      </w:r>
    </w:p>
    <w:p>
      <w:pPr>
        <w:pStyle w:val="Header"/>
        <w:tabs>
          <w:tab w:val="clear" w:pos="4320"/>
          <w:tab w:val="clear" w:pos="8640"/>
        </w:tabs>
        <w:ind w:firstLine="720" w:end="0"/>
        <w:rPr/>
      </w:pPr>
      <w:r>
        <w:rPr/>
        <w:t xml:space="preserve">Specific modifications ordered by FERC include: (1) elimination of the so-called “mandatory buy/sell” requirement; (2) </w:t>
      </w:r>
      <w:r>
        <w:rPr>
          <w:szCs w:val="26"/>
        </w:rPr>
        <w:t xml:space="preserve">requiring market participants to schedule 95 percent of their transactions in the day-ahead markets with an associated </w:t>
      </w:r>
      <w:r>
        <w:rPr/>
        <w:t xml:space="preserve">new penalty for inaccurate scheduling, if actual loads exceed by 5% the scheduled load, with revenues going to parties that schedule accurately; (3) changes to the CAISO and CalPX Governance by the replacement of stakeholder boards with “independent, non-stakeholder boards”; (4) </w:t>
      </w:r>
      <w:r>
        <w:rPr>
          <w:szCs w:val="26"/>
        </w:rPr>
        <w:t>temporary modification of the single price auction so that bids above $150/MWh cannot set the market clearing prices paid to all bidders; (5) the submission of a congestion management design proposal; (6) the establishment of generation interconnection procedures; (7) exploration of alternatives to the single price auction by the ISO and PX; and (8) development of market rules to ensure that sufficient supply is available to meet load and reserve requirements.</w:t>
      </w:r>
    </w:p>
    <w:p>
      <w:pPr>
        <w:pStyle w:val="Normal"/>
        <w:ind w:start="720" w:end="0"/>
        <w:rPr>
          <w:sz w:val="26"/>
          <w:szCs w:val="26"/>
        </w:rPr>
      </w:pPr>
      <w:r>
        <w:rPr>
          <w:sz w:val="26"/>
          <w:szCs w:val="26"/>
        </w:rPr>
      </w:r>
    </w:p>
    <w:p>
      <w:pPr>
        <w:pStyle w:val="Normal"/>
        <w:ind w:firstLine="720" w:end="0"/>
        <w:rPr/>
      </w:pPr>
      <w:r>
        <w:rPr/>
        <w:t>In terms of the immediate changes to the auction mechanism, FERC is proposes the following: (1) single price auctions would be used for all sales in the ISO and PX markets at or below $150 per MWh. The single price would be used for all load which clears below this amount in the auctions. (2) if an auction does not clear below the $150 per MWh level, suppliers who choose to bid above $150 would be paid their bid price. This mechanism reflects the value of scarce generation capacity in the market, but it does not allow sellers to systematically set the clearing price for the entire market.  In other words, the highest bid of the day, if above $150 per MWh, would no longer be the clearing price paid by all. (3) sellers receiving above $150 per MWh would be required to report their bids to the Commission on a weekly basis and provide certain cost information to the Commission. T</w:t>
      </w:r>
      <w:r>
        <w:rPr>
          <w:szCs w:val="26"/>
        </w:rPr>
        <w:t>he ISO and the PX would be required to report monthly information on such bids.  This information will permit the Commission to monitor competitive conditions and ensure just and reasonable rates.  Sellers would be subject to potential refund liability, but no lower than their marginal or opportunity costs, if the commission finds non-competitive conditions.  The potential refund liability would extend the full 24 months it takes to effectuate the market reforms.</w:t>
      </w:r>
    </w:p>
    <w:p>
      <w:pPr>
        <w:pStyle w:val="BodyTextIndent"/>
        <w:rPr>
          <w:szCs w:val="26"/>
        </w:rPr>
      </w:pPr>
      <w:r>
        <w:rPr>
          <w:szCs w:val="26"/>
        </w:rPr>
      </w:r>
    </w:p>
    <w:p>
      <w:pPr>
        <w:pStyle w:val="Normal"/>
        <w:rPr/>
      </w:pPr>
      <w:r>
        <w:rPr/>
        <w:tab/>
        <w:t xml:space="preserve">Comments and arguments are due on the FERC’s proposals by November 22, 2000.  Such materials must explicitly set forth the record upon which it relies.  There will be no trial-type hearings.  No reply comments will be allowed.  There will be a public conference on November 9.  A final order would come out by the end of the year.  </w:t>
      </w:r>
    </w:p>
    <w:p>
      <w:pPr>
        <w:pStyle w:val="Normal"/>
        <w:rPr/>
      </w:pPr>
      <w:r>
        <w:rPr/>
      </w:r>
    </w:p>
    <w:p>
      <w:pPr>
        <w:pStyle w:val="Normal"/>
        <w:rPr>
          <w:u w:val="single"/>
        </w:rPr>
      </w:pPr>
      <w:r>
        <w:rPr>
          <w:u w:val="single"/>
        </w:rPr>
        <w:t>Outline Summary of Order</w:t>
      </w:r>
    </w:p>
    <w:p>
      <w:pPr>
        <w:pStyle w:val="Heading1"/>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Proposed Immediate Measures</w:t>
      </w:r>
    </w:p>
    <w:p>
      <w:pPr>
        <w:pStyle w:val="Normal"/>
        <w:ind w:start="720" w:end="0"/>
        <w:rPr/>
      </w:pPr>
      <w:r>
        <w:rPr/>
        <w:t>FERC identifies certain market rules that inhibit efficient operation of the markets and which have contributed to the high prices and volatility.  FERC finds that one of the “essential remedies” need is the elimination of rules preventing risk management by market participants as well as elimination of an inefficient and ineffective stakeholder board.</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Requirement to Sell Into and Buy From the PX</w:t>
      </w:r>
    </w:p>
    <w:p>
      <w:pPr>
        <w:pStyle w:val="Normal"/>
        <w:ind w:start="1440" w:end="0"/>
        <w:rPr/>
      </w:pPr>
      <w:r>
        <w:rPr/>
        <w:t>FERC concludes that the requirement for the IOUs to sell all of their generation into and buy all of their requirements from the PX, is a “significant factor” contributing to rates that are unjust and unreasonable and proposes to declare the requirement null and void effective 60 days from the date of this order.  IOUs could become their own Scheduling Coordinators, and will be free to pursue their own procurement portfolios from any source including alternative exchanges.  The CalPX would be one of those independent exchanges.</w:t>
      </w:r>
    </w:p>
    <w:p>
      <w:pPr>
        <w:pStyle w:val="Normal"/>
        <w:ind w:start="1440" w:end="0"/>
        <w:rPr/>
      </w:pPr>
      <w:r>
        <w:rPr/>
      </w:r>
    </w:p>
    <w:p>
      <w:pPr>
        <w:pStyle w:val="Normal"/>
        <w:ind w:start="1440" w:end="0"/>
        <w:rPr/>
      </w:pPr>
      <w:r>
        <w:rPr/>
        <w:t>FERC points out that the CPUC “mandatory buy” requirement “restricts the IOUS’ ability to procure forward products” and that the result is an increase in overall prices and price volatility.</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Underscheduling of Load and Resources</w:t>
      </w:r>
    </w:p>
    <w:p>
      <w:pPr>
        <w:pStyle w:val="Normal"/>
        <w:ind w:start="1440" w:end="0"/>
        <w:rPr/>
      </w:pPr>
      <w:r>
        <w:rPr/>
        <w:t xml:space="preserve">FERC notes a “chronic pattern of underscheduling” of load and generation, leading to improper use of reserves and extensive declarations of system emergencies, the imposition of significant pressure on system operators, constituting a threat of system reliability and creating a “sellers’ market.”  FERC notes that the CAISO’s realtime market was not intended to be a “spot market” (as the CalPX Day-Ahead and Day-Of markets are intended).  </w:t>
      </w:r>
    </w:p>
    <w:p>
      <w:pPr>
        <w:pStyle w:val="Normal"/>
        <w:ind w:start="1440" w:end="0"/>
        <w:rPr/>
      </w:pPr>
      <w:r>
        <w:rPr/>
      </w:r>
    </w:p>
    <w:p>
      <w:pPr>
        <w:pStyle w:val="Normal"/>
        <w:ind w:start="1440" w:end="0"/>
        <w:rPr/>
      </w:pPr>
      <w:r>
        <w:rPr/>
        <w:t>Elimination of the “mandatory buy/sell” requirement may help relieve the underscheduling problem.  However, as a direct remedy, FERC proposes to establish a penalty charge for deviations in excess of five percent of any entity’s hourly load requirements.  The penalty will be two times the ISO’s real time energy cost for any purchases of balancing energy during the hour, not to exceed $100/MWh (or the actual imbalance cost plus $100).</w:t>
      </w:r>
      <w:r>
        <w:rPr>
          <w:rStyle w:val="FootnoteCharacters"/>
          <w:rStyle w:val="FootnoteReference"/>
        </w:rPr>
        <w:footnoteReference w:id="4"/>
      </w:r>
      <w:r>
        <w:rPr/>
        <w:t xml:space="preserve">  Revenues collected above the costs will be disbursed on a pro rata basis to those loads accurately scheduling their loads.  </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Governance of the PX and ISO</w:t>
      </w:r>
    </w:p>
    <w:p>
      <w:pPr>
        <w:pStyle w:val="Normal"/>
        <w:ind w:start="1440" w:end="0"/>
        <w:rPr/>
      </w:pPr>
      <w:r>
        <w:rPr/>
        <w:t>FERC recites the development of the stakeholder boards and FERC’s “deference” to the structure sought by California.  It also recites its worries in respect to the conflicting role of the Electric Oversight Board and the impact of SB 96, and lists a number of areas—primarily associated with retail service provision—that are properly within the State’s regulatory domain.  However, FERC finds that the CAISO board has had such difficulty operating over the last two years that it is ineffective, using by way of example CAISO Management’s decision not to seek approval from the Board for its “Settlement” proposal in this docket as well as direct pressure from various sources on price cap issues.</w:t>
      </w:r>
      <w:r>
        <w:rPr>
          <w:rStyle w:val="FootnoteCharacters"/>
          <w:rStyle w:val="FootnoteReference"/>
        </w:rPr>
        <w:footnoteReference w:id="5"/>
      </w:r>
      <w:r>
        <w:rPr/>
        <w:t xml:space="preserve">  FERC then concludes that “[o]peration of this interstate transmission grid must be controlled by an expert board which is free from the influence of any market participant or market segment.”</w:t>
      </w:r>
      <w:r>
        <w:rPr>
          <w:rStyle w:val="FootnoteCharacters"/>
          <w:rStyle w:val="FootnoteReference"/>
        </w:rPr>
        <w:footnoteReference w:id="6"/>
      </w:r>
    </w:p>
    <w:p>
      <w:pPr>
        <w:pStyle w:val="Normal"/>
        <w:ind w:start="1440" w:end="0"/>
        <w:rPr/>
      </w:pPr>
      <w:r>
        <w:rPr/>
      </w:r>
    </w:p>
    <w:p>
      <w:pPr>
        <w:pStyle w:val="BodyTextIndent2"/>
        <w:rPr/>
      </w:pPr>
      <w:r>
        <w:rPr/>
        <w:t>“</w:t>
      </w:r>
      <w:r>
        <w:rPr/>
        <w:t>We propose in this order that the current stakeholder boards be replaced with non-stakeholder boards effective 90 days after the date of this order.  Under this proposal, in order to accommodate this schedule we will require that each new independent non-stakeholder board consist of seven voting members with the President (or CEO) as a voting member.  The six other voting members will be selected by the current boards of the ISO and the PX , from a separate slate of candidates for each entity prepared by an independent consultant.  The consultants are to be selected by the CEOs of the ISO and PX.    The Boards should include members with experience in corporate leadership (at the director or board level) or professional expertise in either finance, accounting, engineering or utility law and regulation.  The PX board should include members with expertise in areas of commercial markets and trading.  The ISO board should include members with experience in the operation and planning of transmission systems.  To allow sufficient time for this transition to occur, we propose to require the current ISO and PX Governing Boards to vote in new independent, non-stakeholder board members selected from the consultant's slate of candidates and disband the existing stakeholder boards within 90 days from the date of this order.  We emphasize that the sole responsibility of the existing boards in the selection process is to pick from the slate of qualified candidates identified by the independent consultant.” Order at 32.</w:t>
      </w:r>
    </w:p>
    <w:p>
      <w:pPr>
        <w:pStyle w:val="BodyTextIndent2"/>
        <w:rPr/>
      </w:pPr>
      <w:r>
        <w:rPr/>
      </w:r>
    </w:p>
    <w:p>
      <w:pPr>
        <w:pStyle w:val="BodyTextIndent2"/>
        <w:rPr>
          <w:b/>
          <w:bCs/>
        </w:rPr>
      </w:pPr>
      <w:r>
        <w:rPr/>
        <w:t>Additionally, effective 60 days after the date of this order, all ISO and PX market reports developed by the independent market monitoring committees will be filed by the ISO and PX with the Commission at the same time that they are released to the respective boards. Order at 33.</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Interconnection procedures</w:t>
      </w:r>
    </w:p>
    <w:p>
      <w:pPr>
        <w:pStyle w:val="BodyTextIndent2"/>
        <w:rPr/>
      </w:pPr>
      <w:r>
        <w:rPr/>
        <w:t>While siting issues are not within this Commission's jurisdiction, we note that tariff interconnection policies are.  Further, we note that standard procedures to facilitate the interconnection of new generators or existing generators seeking to increase the rated capacity of their facilities are needed in California.  In this regard, we find that the ISO tariff lacks any such procedures and we direct the ISO to file generation interconnection procedures no later than sixty (60) days after the Independent Board is seated.  This will ensure that the Commission may facilitate the matters under its control in a timely manner.</w:t>
      </w:r>
    </w:p>
    <w:p>
      <w:pPr>
        <w:pStyle w:val="Heading1"/>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Longer Term Measures</w:t>
      </w:r>
    </w:p>
    <w:p>
      <w:pPr>
        <w:pStyle w:val="Normal"/>
        <w:ind w:start="720" w:end="0"/>
        <w:rPr/>
      </w:pPr>
      <w:r>
        <w:rPr/>
        <w:t>FERC outlines a number of other areas that require revision, but does not proposes specific changes.  These areas of revision would presumably be subject to development by management with direction from the new boards.  FERC’s discussion of each topic is very short.</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Reserve Requirement</w:t>
      </w:r>
    </w:p>
    <w:p>
      <w:pPr>
        <w:pStyle w:val="Normal"/>
        <w:ind w:start="1440" w:end="0"/>
        <w:rPr/>
      </w:pPr>
      <w:r>
        <w:rPr/>
        <w:t>FERC opines that reserves and reliability planning is needed to address the lag associated with a market response to short supplies, and in its stead FERC directs “the ISO and the Load Serving Entities in California to consider what market rules are needed to ensure that sufficient supply is avoidable to meet loads and reserve requirements.”  The Order suggests some form of long-term contract or other device that would avoid high market prices driven by low reserve levels.</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Alternative Auction Mechanisms</w:t>
      </w:r>
    </w:p>
    <w:p>
      <w:pPr>
        <w:pStyle w:val="Normal"/>
        <w:ind w:start="1440" w:end="0"/>
        <w:rPr/>
      </w:pPr>
      <w:r>
        <w:rPr/>
        <w:t>FERC notes that a single price auction works during periods of surplus capacity, but the underlying theory fails when supply is tight and all resources are required to fill demand.  Because California will be supply constrained for the next few years, FERC proposed the “soft cap” whereby the single price auction result apply where the clearing price is below $150/MWh, but any project which require higher bids will be paid on a “bid-ask” model, and the resource must provide supporting documentation on a weekly basis.  FERC directs the CAISO and CalPX to consider, “whether alternatives to the single price auction which minimize the ability of sellers to bid for the purpose of setting the clearing price may be appropriate.”  Order at 34.</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Balanced Schedules</w:t>
      </w:r>
    </w:p>
    <w:p>
      <w:pPr>
        <w:pStyle w:val="Normal"/>
        <w:ind w:start="1440" w:end="0"/>
        <w:rPr/>
      </w:pPr>
      <w:r>
        <w:rPr/>
        <w:t>FERC posits a curious question as to whether the underscheduling problem is magnified by the number of Scheduling Coordinators and the requirement to submit balanced schedules.  (This appears to ignore the fact that CalPX, as SC for the utilities, would schedule the vast majority of load.)  Questioning the rationale behind “market separation”, the Order states, “[w]e therefore direct the ISO and PX to pursue establishing an integrated day ahead market in which all demand and supply bids are addressed in one venue.”  Order at 34.</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Enhanced Market Mitigation</w:t>
      </w:r>
    </w:p>
    <w:p>
      <w:pPr>
        <w:pStyle w:val="Normal"/>
        <w:ind w:start="1440" w:end="0"/>
        <w:rPr/>
      </w:pPr>
      <w:r>
        <w:rPr/>
        <w:t>“</w:t>
      </w:r>
      <w:r>
        <w:rPr>
          <w:szCs w:val="26"/>
        </w:rPr>
        <w:t>We direct the ISO and the PX to consider less intrusive, narrowly tailored market protection mechanisms.  Such mechanisms could take the form of the ex ante identification of conditions or behavior that would trigger specific market mitigation actions.” Order at 34.</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Congestion Management Redesign</w:t>
      </w:r>
    </w:p>
    <w:p>
      <w:pPr>
        <w:pStyle w:val="Normal"/>
        <w:ind w:start="1440" w:end="0"/>
        <w:rPr/>
      </w:pPr>
      <w:r>
        <w:rPr/>
        <w:t>FERC recognizes it prior direction to CAISO for a rebuilding of congestion mitigation and the Commission’s characterization of the existing mechanisms as severely flawed.  The Order reiterates that reform is critical, but opines that congestion mechanisms are “not a significant source of this summer’s high prices and volatility.”  However, FERC does not want the CMR effort derailed in light of the Order.  FERC provides additional guidance when it directs “</w:t>
      </w:r>
      <w:r>
        <w:rPr>
          <w:szCs w:val="26"/>
        </w:rPr>
        <w:t>the new Independent ISO Board to file its redesign proposal no later than sixty (60) days after the Independent ISO Board is seated with an implementation date as soon as possible. … we will require that the proposal, at a minimum,  include a meaningful number of zones that significantly address congestion on the system.  In this regard, we also require that the proposal provide a comparison with a nodal energy price proposal (</w:t>
      </w:r>
      <w:r>
        <w:rPr>
          <w:szCs w:val="26"/>
          <w:u w:val="single"/>
        </w:rPr>
        <w:t>i.e.</w:t>
      </w:r>
      <w:r>
        <w:rPr>
          <w:szCs w:val="26"/>
        </w:rPr>
        <w:t xml:space="preserve"> locational marginal prices for each bus or node on the grid).  We also expect the ISO to conduct a periodic (annual) review to evaluate the accuracy of the zones for congestion management.”  Order at 35.  </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Demand Response Program</w:t>
      </w:r>
    </w:p>
    <w:p>
      <w:pPr>
        <w:pStyle w:val="Normal"/>
        <w:ind w:start="1440" w:end="0"/>
        <w:rPr/>
      </w:pPr>
      <w:r>
        <w:rPr/>
        <w:t>The FERC Order appears to indicate a believe that no new demand response efforts have been proposed or attempted.  “</w:t>
      </w:r>
      <w:r>
        <w:rPr>
          <w:szCs w:val="26"/>
        </w:rPr>
        <w:t>We direct the ISO and Scheduling Coordinators to consider demand bidding programs in which loads can bid offers of demand reduction directly into the market to compete with offers of supply.”</w:t>
      </w:r>
      <w:r>
        <w:rPr>
          <w:rStyle w:val="FootnoteCharacters"/>
          <w:rStyle w:val="FootnoteReference"/>
          <w:szCs w:val="26"/>
        </w:rPr>
        <w:footnoteReference w:id="7"/>
      </w:r>
      <w:r>
        <w:rPr>
          <w:szCs w:val="26"/>
        </w:rPr>
        <w:t xml:space="preserve">  Order at 35.  In actuality concerns about “double dipping” slowed CPUC approval of new market-based programs and CAISO technical requirements (along with the price caps) created a barrier to new participation last summer.  </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Importance of RTO Development and Compliance</w:t>
      </w:r>
    </w:p>
    <w:p>
      <w:pPr>
        <w:pStyle w:val="Normal"/>
        <w:ind w:start="1440" w:end="0"/>
        <w:rPr/>
      </w:pPr>
      <w:r>
        <w:rPr/>
        <w:t>The Order stresses the importance of RTO development as a “next step” toward the creation of larger, efficient interstate markets.  The focus here is on so-called “seams issues” that impede transactions between control areas and hinder the creation of trading hubs.  FERC states that with the RTO effort better generation and transmission planning should be possible to maximize consumer benefits.  “</w:t>
      </w:r>
      <w:r>
        <w:rPr>
          <w:szCs w:val="26"/>
        </w:rPr>
        <w:t>The problems being confronted in California can, in many ways, be traced to the continued balkanization of the Western grid and the absence of a true RTO with regional scope.  …  We expect that the matters addressed in this order will move the California market toward meeting the significant objectives of Order No. 2000 and that these long-term market reforms will facilitate California's transformation into a properly sized and functioning RTO.”  Order at 36.</w:t>
      </w:r>
    </w:p>
    <w:p>
      <w:pPr>
        <w:pStyle w:val="Heading1"/>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Price Mitigation and Refunds</w:t>
      </w:r>
    </w:p>
    <w:p>
      <w:pPr>
        <w:pStyle w:val="Normal"/>
        <w:ind w:start="720" w:end="0"/>
        <w:rPr/>
      </w:pPr>
      <w:r>
        <w:rPr/>
        <w:t xml:space="preserve">FERC notes the public impact of high prices and the call for refunds and disgorgement from sellers.  The changes called for in the Order should address some of the causes for the prices, but in the interim while the changes are being implemented, the “soft cap” proposal will be in place, and sellers market-based rate authority will be conditioned upon the voluntary assumption of a refund requirement out until December 31, 2002.  </w:t>
      </w:r>
    </w:p>
    <w:p>
      <w:pPr>
        <w:pStyle w:val="Normal"/>
        <w:ind w:start="1440" w:end="0"/>
        <w:rPr/>
      </w:pPr>
      <w:r>
        <w:rPr/>
      </w:r>
    </w:p>
    <w:p>
      <w:pPr>
        <w:pStyle w:val="Normal"/>
        <w:ind w:start="720" w:end="0"/>
        <w:rPr/>
      </w:pPr>
      <w:r>
        <w:rPr/>
        <w:t xml:space="preserve">Removal of restrictions on utility participation as buyers and sellers in markets is the first step of FERC’s proposal.  (They note that CPUC has the control over utility purchasing.)   The second step is the requirement that 95% of all volumes be “prescheduled” in the forward markets, with any volumes greater than 5% in the realtime markets carrying a “penalty” for the excursion.  </w:t>
      </w:r>
    </w:p>
    <w:p>
      <w:pPr>
        <w:pStyle w:val="Normal"/>
        <w:ind w:start="1440" w:end="0"/>
        <w:rPr/>
      </w:pPr>
      <w:r>
        <w:rPr/>
      </w:r>
    </w:p>
    <w:p>
      <w:pPr>
        <w:pStyle w:val="Normal"/>
        <w:ind w:start="720" w:end="0"/>
        <w:rPr/>
      </w:pPr>
      <w:r>
        <w:rPr/>
        <w:t>As noted earlier, the “soft cap” will bifurcate the market at a $150/MWh threshold, with volumes traded at and under that level subject to market-based rate authority, and generation requiring higher prices required to make additional cost reconciliations to support the transactions (ex ante verifiable costs, including opportunity costs) clearing under a “bid-ask” model.  Loads served from the higher priced resources will pay an averaged cost for resources in the higher tier.  The CAISO and CalPX, and the generators, will be required to make regular filings with details concerning the higher priced transactions.</w:t>
      </w:r>
      <w:r>
        <w:rPr>
          <w:rStyle w:val="FootnoteCharacters"/>
          <w:rStyle w:val="FootnoteReference"/>
        </w:rPr>
        <w:footnoteReference w:id="8"/>
      </w:r>
      <w:r>
        <w:rPr/>
        <w:t xml:space="preserve">  </w:t>
      </w:r>
    </w:p>
    <w:p>
      <w:pPr>
        <w:pStyle w:val="Normal"/>
        <w:ind w:start="1440" w:end="0"/>
        <w:rPr/>
      </w:pPr>
      <w:r>
        <w:rPr/>
      </w:r>
    </w:p>
    <w:p>
      <w:pPr>
        <w:pStyle w:val="Normal"/>
        <w:ind w:start="720" w:end="0"/>
        <w:rPr/>
      </w:pPr>
      <w:r>
        <w:rPr/>
        <w:t xml:space="preserve">The Order does not require immediate refunds for past transactions, but creates an open refund liability through December 31, 2002.  Notwithstanding the 15 month statutory limitation on the refund period, FERC states that entities with market-based rate authority will be required to accept the longer refund period, and refunds could be possible if subsequent review finds market manipulation or other justification.  Order at 44-45.  </w:t>
      </w:r>
    </w:p>
    <w:p>
      <w:pPr>
        <w:pStyle w:val="Heading1"/>
        <w:keepNext w:val="false"/>
        <w:ind w:hanging="0" w:start="0"/>
        <w:rPr>
          <w:rFonts w:ascii="Times New Roman" w:hAnsi="Times New Roman" w:cs="Times New Roman"/>
          <w:b w:val="false"/>
          <w:bCs w:val="false"/>
          <w:sz w:val="24"/>
        </w:rPr>
      </w:pPr>
      <w:r>
        <w:rPr>
          <w:rFonts w:cs="Times New Roman" w:ascii="Times New Roman" w:hAnsi="Times New Roman"/>
          <w:b w:val="false"/>
          <w:bCs w:val="false"/>
          <w:sz w:val="24"/>
        </w:rPr>
        <w:t>Price Cap Dockets</w:t>
      </w:r>
    </w:p>
    <w:p>
      <w:pPr>
        <w:pStyle w:val="Normal"/>
        <w:ind w:start="720" w:end="0"/>
        <w:rPr/>
      </w:pPr>
      <w:r>
        <w:rPr/>
        <w:t xml:space="preserve">FERC rejects the price cap filings of CAISO and CalPX.  In light of the market mitigation modifications ordered, including the “prescheduling” requirement and deviation penalty, FERC believes the motivation to “wait until realtime” is removed.  Therefore, FERC rejects the capping proposals that would otherwise further disrupt market operations.  </w:t>
      </w:r>
    </w:p>
    <w:p>
      <w:pPr>
        <w:pStyle w:val="Normal"/>
        <w:rPr/>
      </w:pPr>
      <w:r>
        <w:rPr/>
      </w:r>
    </w:p>
    <w:p>
      <w:pPr>
        <w:pStyle w:val="Normal"/>
        <w:ind w:start="720" w:end="0"/>
        <w:rPr/>
      </w:pPr>
      <w:r>
        <w:rPr/>
        <w:t>“</w:t>
      </w:r>
      <w:r>
        <w:rPr/>
        <w:t>In the interest of maintaining stability in the markets during the transition prior to imposing the instant market reforms, we hereby order that the current $250 ISO purchase cap remain in place at that level until sixty (60) days after the date of this order.  … We will sunset all price mitigation on December 31, 2002.  We conclude that 24 months is sufficient to restore order to these markets.”  Order at 45-46.</w:t>
      </w:r>
    </w:p>
    <w:p>
      <w:pPr>
        <w:pStyle w:val="Heading1"/>
        <w:keepLines/>
        <w:ind w:hanging="0" w:start="0"/>
        <w:rPr>
          <w:rFonts w:ascii="Times New Roman" w:hAnsi="Times New Roman" w:cs="Times New Roman"/>
          <w:b w:val="false"/>
          <w:bCs w:val="false"/>
          <w:sz w:val="24"/>
        </w:rPr>
      </w:pPr>
      <w:r>
        <w:rPr>
          <w:rFonts w:cs="Times New Roman" w:ascii="Times New Roman" w:hAnsi="Times New Roman"/>
          <w:b w:val="false"/>
          <w:bCs w:val="false"/>
          <w:sz w:val="24"/>
        </w:rPr>
        <w:t>Actions Others Should Take</w:t>
      </w:r>
    </w:p>
    <w:p>
      <w:pPr>
        <w:pStyle w:val="BodyTextIndent3"/>
        <w:rPr/>
      </w:pPr>
      <w:r>
        <w:rPr/>
        <w:t>The Order carefully states that FERC’s intention is to continue the move toward market-based systems, and that the two-year period contemplated in the Order contemplates developing demand responsiveness and sufficient supplies.  But FERC also presents a warning when it states, “We have intervened not to shelter Californians from the consequences of their choices, but to allow a two-year period of transition during which the California Commission and other interested parties can make an informed decision of whether these are the decisions they wish to make for the future in a considered and deliberative environment without the distraction of destabilizing price spikes and an increase in overall power costs.  At the end of our 24-month window, we intend to lift the $150 auction modification.  At that time, prices will be the product of the informed choices Californians have made on supply and demand and will reflect the true scarcity cost which they place on electric generation.”  Order 46.</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Offering a Full Menu of Forward Products</w:t>
      </w:r>
    </w:p>
    <w:p>
      <w:pPr>
        <w:pStyle w:val="Normal"/>
        <w:ind w:start="1440" w:end="0"/>
        <w:rPr/>
      </w:pPr>
      <w:r>
        <w:rPr/>
        <w:t>“</w:t>
      </w:r>
      <w:r>
        <w:rPr/>
        <w:t>[W]e fully expect that California suppliers will welcome the opportunity to offer a full range of forward products to meet the needs of their customers.  To the extent that a full range of forward products (e.g., short-term, intermediate term and long-term products) do not become available in California, we expect that load-serving entities will bring that to our attention.  Whether the Commission should require sellers to provide a certain percentage of product offerings in the forward market is one issue that the Commission will consider in this proceeding.”  Order at 46-47.</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Additions of Generation and Transmission Capacity</w:t>
      </w:r>
    </w:p>
    <w:p>
      <w:pPr>
        <w:pStyle w:val="Normal"/>
        <w:ind w:start="1440" w:end="0"/>
        <w:rPr/>
      </w:pPr>
      <w:r>
        <w:rPr/>
        <w:t>The Order emphasizes that new supply is the “most crucial task ahead” and that the proposals made are intended to provide regulatory stability and adequate price signals to encourage new entry.  FERC will expeditiously handle any siting issues that come before them (hydro and interstate gas lines), but most of the issues and the ability to address this aspect rests with California agencies.</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Demand Response</w:t>
      </w:r>
    </w:p>
    <w:p>
      <w:pPr>
        <w:pStyle w:val="Normal"/>
        <w:ind w:start="1440" w:end="0"/>
        <w:rPr/>
      </w:pPr>
      <w:r>
        <w:rPr/>
        <w:t xml:space="preserve">FERC notes that the creation of demand response is also primarily within the domain of the states, and that this is a critical element needed for a well functioning market.  </w:t>
      </w:r>
    </w:p>
    <w:p>
      <w:pPr>
        <w:pStyle w:val="Heading2"/>
        <w:keepNext w:val="false"/>
        <w:ind w:hanging="0" w:start="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t>Elimination of Impediments to Forward Contracting</w:t>
      </w:r>
    </w:p>
    <w:p>
      <w:pPr>
        <w:pStyle w:val="Normal"/>
        <w:ind w:start="1440" w:end="0"/>
        <w:rPr/>
      </w:pPr>
      <w:r>
        <w:rPr/>
        <w:t>In two sentences FERC calls on the California Commission to remove the limitations on utility forward contracting.</w:t>
      </w:r>
    </w:p>
    <w:p>
      <w:pPr>
        <w:pStyle w:val="Normal"/>
        <w:rPr/>
      </w:pPr>
      <w:r>
        <w:rPr/>
      </w:r>
    </w:p>
    <w:p>
      <w:pPr>
        <w:pStyle w:val="Normal"/>
        <w:rPr/>
      </w:pPr>
      <w:r>
        <w:rPr/>
      </w:r>
    </w:p>
    <w:sectPr>
      <w:headerReference w:type="default" r:id="rId2"/>
      <w:headerReference w:type="first" r:id="rId3"/>
      <w:footnotePr>
        <w:numFmt w:val="decimal"/>
      </w:footnotePr>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Order, page 17, fn 34.</w:t>
      </w:r>
    </w:p>
  </w:footnote>
  <w:footnote w:id="3">
    <w:p>
      <w:pPr>
        <w:pStyle w:val="FootnoteText"/>
        <w:rPr/>
      </w:pPr>
      <w:r>
        <w:rPr>
          <w:rStyle w:val="FootnoteCharacters"/>
        </w:rPr>
        <w:footnoteRef/>
      </w:r>
      <w:r>
        <w:rPr/>
        <w:t xml:space="preserve"> </w:t>
      </w:r>
      <w:r>
        <w:rPr/>
        <w:t>Of interest is the statement that the FERC Staff report, “is generally consistent with the PX and ISO reports” in finding that no single party abused market power.  However, the Order also notes that additional analysis is desired by Staff, particularly to review individual firm behavior.  See page 14, fn 31.</w:t>
      </w:r>
    </w:p>
  </w:footnote>
  <w:footnote w:id="4">
    <w:p>
      <w:pPr>
        <w:pStyle w:val="FootnoteText"/>
        <w:rPr/>
      </w:pPr>
      <w:r>
        <w:rPr>
          <w:rStyle w:val="FootnoteCharacters"/>
        </w:rPr>
        <w:footnoteRef/>
      </w:r>
      <w:r>
        <w:rPr/>
        <w:t xml:space="preserve"> </w:t>
      </w:r>
      <w:r>
        <w:rPr/>
        <w:t>Language from the order is not clear.  It states at page 27:</w:t>
      </w:r>
    </w:p>
    <w:p>
      <w:pPr>
        <w:pStyle w:val="FootnoteText"/>
        <w:ind w:hanging="720" w:start="720" w:end="0"/>
        <w:rPr/>
      </w:pPr>
      <w:r>
        <w:rPr/>
        <w:tab/>
        <w:t>Loads in excess of this deviation band that are not scheduled in the Day-Ahead or Day-of Markets will be assessed a penalty charge of two times the ISO's real time energy cost for any purchase of  balancing energy during the hour.  The penalty will not exceed $100/MWh (i.e. the actual imbalance cost plus $100), which approximates the current charge assessed to underscheduled load for replacement reserves.  As to the penalty, we have long set disincentive rates for emergency service at twice the standard rate, and we will apply that policy here.</w:t>
      </w:r>
    </w:p>
  </w:footnote>
  <w:footnote w:id="5">
    <w:p>
      <w:pPr>
        <w:pStyle w:val="FootnoteText"/>
        <w:rPr/>
      </w:pPr>
      <w:r>
        <w:rPr>
          <w:rStyle w:val="FootnoteCharacters"/>
        </w:rPr>
        <w:footnoteRef/>
      </w:r>
      <w:r>
        <w:rPr/>
        <w:t xml:space="preserve"> </w:t>
      </w:r>
      <w:r>
        <w:rPr/>
        <w:t xml:space="preserve">The Order  has an explicit reference to Camden Collins’ resignation letter, and cites a “joint Report to the Governor authored by the California Commission and the Oversight Board” noting “serious conflicts of interest” by members of the CAISO Board.  Order at page 31.  </w:t>
      </w:r>
    </w:p>
  </w:footnote>
  <w:footnote w:id="6">
    <w:p>
      <w:pPr>
        <w:pStyle w:val="FootnoteText"/>
        <w:rPr/>
      </w:pPr>
      <w:r>
        <w:rPr>
          <w:rStyle w:val="FootnoteCharacters"/>
        </w:rPr>
        <w:footnoteRef/>
      </w:r>
      <w:r>
        <w:rPr/>
        <w:t xml:space="preserve"> </w:t>
      </w:r>
      <w:r>
        <w:rPr/>
        <w:t>Order at 31, also citing to Order 2000.</w:t>
      </w:r>
    </w:p>
  </w:footnote>
  <w:footnote w:id="7">
    <w:p>
      <w:pPr>
        <w:pStyle w:val="FootnoteText"/>
        <w:rPr/>
      </w:pPr>
      <w:r>
        <w:rPr>
          <w:rStyle w:val="FootnoteCharacters"/>
        </w:rPr>
        <w:footnoteRef/>
      </w:r>
      <w:r>
        <w:rPr/>
        <w:t xml:space="preserve"> </w:t>
      </w:r>
      <w:r>
        <w:rPr/>
        <w:t>The Order also cites to page 5-21 of the Staff report. The citation appears incorrect.</w:t>
      </w:r>
    </w:p>
  </w:footnote>
  <w:footnote w:id="8">
    <w:p>
      <w:pPr>
        <w:pStyle w:val="FootnoteText"/>
        <w:rPr/>
      </w:pPr>
      <w:r>
        <w:rPr>
          <w:rStyle w:val="FootnoteCharacters"/>
        </w:rPr>
        <w:footnoteRef/>
      </w:r>
      <w:r>
        <w:rPr/>
        <w:t xml:space="preserve"> </w:t>
      </w:r>
      <w:r>
        <w:rPr/>
        <w:t>See Order, pages 39-42 regarding the details of the reporting requirements.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szCs w:val="24"/>
      </w:rPr>
    </w:pPr>
    <w:r>
      <w:rPr>
        <w:smallCaps/>
        <w:color w:val="008080"/>
        <w:sz w:val="26"/>
        <w:szCs w:val="26"/>
      </w:rPr>
      <w:t>Ellison, Schneider &amp; Harris L.L.P.</w:t>
    </w:r>
  </w:p>
  <w:p>
    <w:pPr>
      <w:pStyle w:val="Normal"/>
      <w:spacing w:lineRule="atLeast" w:line="312"/>
      <w:jc w:val="center"/>
      <w:rPr>
        <w:smallCaps/>
        <w:szCs w:val="24"/>
      </w:rPr>
    </w:pPr>
    <w:r>
      <w:rPr>
        <w:smallCaps/>
        <w:sz w:val="22"/>
        <w:szCs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zCs w:val="24"/>
      </w:rPr>
    </w:pPr>
    <w:r>
      <w:rPr>
        <w:smallCaps/>
      </w:rPr>
      <w:t>Telephone (916) 447-2166   Fax (916) 447-3512</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upperRoman"/>
      <w:lvlText w:val="%1."/>
      <w:lvlJc w:val="start"/>
      <w:pPr>
        <w:tabs>
          <w:tab w:val="num" w:pos="720"/>
        </w:tabs>
        <w:ind w:start="0" w:hanging="0"/>
      </w:pPr>
      <w:rPr/>
    </w:lvl>
    <w:lvl w:ilvl="1">
      <w:start w:val="1"/>
      <w:pStyle w:val="Heading2"/>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spacing w:before="240" w:after="60"/>
      <w:ind w:hanging="0" w:start="1440" w:end="0"/>
      <w:outlineLvl w:val="2"/>
    </w:pPr>
    <w:rPr>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style>
  <w:style w:type="character" w:styleId="WW8NumSt2z0">
    <w:name w:val="WW8NumSt2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e">
    <w:name w:val="re"/>
    <w:basedOn w:val="Normal"/>
    <w:qFormat/>
    <w:pPr>
      <w:tabs>
        <w:tab w:val="left" w:pos="720" w:leader="none"/>
        <w:tab w:val="left" w:pos="1440" w:leader="none"/>
      </w:tabs>
      <w:ind w:hanging="1440" w:start="1440" w:end="0"/>
    </w:pPr>
    <w:rPr/>
  </w:style>
  <w:style w:type="paragraph" w:styleId="TOC1">
    <w:name w:val="toc 1"/>
    <w:basedOn w:val="Normal"/>
    <w:next w:val="Normal"/>
    <w:pPr>
      <w:widowControl w:val="false"/>
      <w:autoSpaceDE w:val="false"/>
      <w:ind w:hanging="720" w:start="720" w:end="0"/>
    </w:pPr>
    <w:rPr>
      <w:sz w:val="20"/>
      <w:szCs w:val="24"/>
    </w:rPr>
  </w:style>
  <w:style w:type="paragraph" w:styleId="TOC2">
    <w:name w:val="toc 2"/>
    <w:basedOn w:val="Normal"/>
    <w:next w:val="Normal"/>
    <w:pPr>
      <w:widowControl w:val="false"/>
      <w:autoSpaceDE w:val="false"/>
      <w:ind w:hanging="720" w:start="1440" w:end="0"/>
    </w:pPr>
    <w:rPr>
      <w:sz w:val="20"/>
      <w:szCs w:val="24"/>
    </w:rPr>
  </w:style>
  <w:style w:type="paragraph" w:styleId="TOC3">
    <w:name w:val="toc 3"/>
    <w:basedOn w:val="Normal"/>
    <w:next w:val="Normal"/>
    <w:pPr>
      <w:widowControl w:val="false"/>
      <w:autoSpaceDE w:val="false"/>
      <w:ind w:hanging="720" w:start="2160" w:end="0"/>
    </w:pPr>
    <w:rPr>
      <w:sz w:val="20"/>
      <w:szCs w:val="24"/>
    </w:rPr>
  </w:style>
  <w:style w:type="paragraph" w:styleId="Level1">
    <w:name w:val="Level 1"/>
    <w:basedOn w:val="Normal"/>
    <w:qFormat/>
    <w:pPr>
      <w:widowControl w:val="false"/>
      <w:autoSpaceDE w:val="false"/>
      <w:ind w:hanging="720" w:start="1440" w:end="0"/>
    </w:pPr>
    <w:rPr>
      <w:sz w:val="20"/>
      <w:szCs w:val="24"/>
    </w:rPr>
  </w:style>
  <w:style w:type="paragraph" w:styleId="BodyTextIndent">
    <w:name w:val="Body Text Indent"/>
    <w:basedOn w:val="Normal"/>
    <w:pPr>
      <w:ind w:firstLine="720" w:start="0" w:end="0"/>
    </w:pPr>
    <w:rPr>
      <w:szCs w:val="26"/>
    </w:rPr>
  </w:style>
  <w:style w:type="paragraph" w:styleId="FootnoteText">
    <w:name w:val="footnote text"/>
    <w:basedOn w:val="Normal"/>
    <w:pPr/>
    <w:rPr>
      <w:sz w:val="20"/>
    </w:rPr>
  </w:style>
  <w:style w:type="paragraph" w:styleId="BodyTextIndent2">
    <w:name w:val="Body Text Indent 2"/>
    <w:basedOn w:val="Normal"/>
    <w:qFormat/>
    <w:pPr>
      <w:ind w:hanging="0" w:start="1440" w:end="0"/>
    </w:pPr>
    <w:rPr>
      <w:szCs w:val="26"/>
    </w:rPr>
  </w:style>
  <w:style w:type="paragraph" w:styleId="BodyTextIndent3">
    <w:name w:val="Body Text Indent 3"/>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 memo format with eltr header.dot</Template>
  <TotalTime>337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2000-11-01T15:47:00Z</dcterms:created>
  <dc:creator>Andrew Brown</dc:creator>
  <dc:description/>
  <dc:language>en-CA</dc:language>
  <cp:lastModifiedBy>Andrew Brown</cp:lastModifiedBy>
  <cp:lastPrinted>2000-02-17T11:23:00Z</cp:lastPrinted>
  <dcterms:modified xsi:type="dcterms:W3CDTF">2000-11-02T22:21:00Z</dcterms:modified>
  <cp:revision>17</cp:revision>
  <dc:subject/>
  <dc:title>CONFIDENTIAL AND PRIVILEGED ATTORNEY-CLIENT COMMUNICATION</dc:title>
</cp:coreProperties>
</file>