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jc w:val="center"/>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Jan Smutny-Jones</w:t>
      </w:r>
    </w:p>
    <w:p>
      <w:pPr>
        <w:pStyle w:val="Normal"/>
        <w:tabs>
          <w:tab w:val="left" w:pos="720" w:leader="none"/>
          <w:tab w:val="left" w:pos="1440" w:leader="none"/>
        </w:tabs>
        <w:ind w:hanging="1440" w:start="1440" w:end="0"/>
        <w:rPr/>
      </w:pPr>
      <w:r>
        <w:rPr/>
        <w:tab/>
        <w:tab/>
        <w:t>Steven Kelly</w:t>
      </w:r>
    </w:p>
    <w:p>
      <w:pPr>
        <w:pStyle w:val="Normal"/>
        <w:tabs>
          <w:tab w:val="left" w:pos="720" w:leader="none"/>
          <w:tab w:val="left" w:pos="1440" w:leader="none"/>
        </w:tabs>
        <w:ind w:hanging="1440" w:start="1440" w:end="0"/>
        <w:rPr/>
      </w:pPr>
      <w:r>
        <w:rPr/>
        <w:tab/>
        <w:tab/>
        <w:t>Katie Kaplan</w:t>
      </w:r>
    </w:p>
    <w:p>
      <w:pPr>
        <w:pStyle w:val="Normal"/>
        <w:tabs>
          <w:tab w:val="left" w:pos="720" w:leader="none"/>
          <w:tab w:val="left" w:pos="1440" w:leader="none"/>
        </w:tabs>
        <w:ind w:hanging="1440" w:start="1440" w:end="0"/>
        <w:rPr/>
      </w:pPr>
      <w:r>
        <w:rPr/>
        <w:tab/>
        <w:t>cc:</w:t>
        <w:tab/>
        <w:t>Doug Kerner</w:t>
      </w:r>
    </w:p>
    <w:p>
      <w:pPr>
        <w:pStyle w:val="Normal"/>
        <w:rPr/>
      </w:pPr>
      <w:r>
        <w:rPr/>
      </w:r>
    </w:p>
    <w:p>
      <w:pPr>
        <w:pStyle w:val="Normal"/>
        <w:tabs>
          <w:tab w:val="left" w:pos="720" w:leader="none"/>
          <w:tab w:val="left" w:pos="1440" w:leader="none"/>
        </w:tabs>
        <w:ind w:hanging="1440" w:start="1440" w:end="0"/>
        <w:rPr/>
      </w:pPr>
      <w:r>
        <w:rPr/>
        <w:t>FROM:</w:t>
        <w:tab/>
        <w:t>Andy Brown, Robert Weisenmiller and Mark Fulmer</w:t>
      </w:r>
    </w:p>
    <w:p>
      <w:pPr>
        <w:pStyle w:val="Normal"/>
        <w:rPr/>
      </w:pPr>
      <w:r>
        <w:rPr/>
      </w:r>
    </w:p>
    <w:p>
      <w:pPr>
        <w:pStyle w:val="Normal"/>
        <w:tabs>
          <w:tab w:val="left" w:pos="720" w:leader="none"/>
          <w:tab w:val="left" w:pos="1440" w:leader="none"/>
        </w:tabs>
        <w:ind w:hanging="1440" w:start="1440" w:end="0"/>
        <w:rPr/>
      </w:pPr>
      <w:r>
        <w:rPr/>
        <w:t>RE:</w:t>
        <w:tab/>
        <w:tab/>
        <w:t>IEP Market Response: Upcoming FERC Filings</w:t>
      </w:r>
    </w:p>
    <w:p>
      <w:pPr>
        <w:pStyle w:val="Normal"/>
        <w:rPr/>
      </w:pPr>
      <w:r>
        <w:rPr/>
      </w:r>
    </w:p>
    <w:p>
      <w:pPr>
        <w:pStyle w:val="Normal"/>
        <w:rPr/>
      </w:pPr>
      <w:r>
        <w:rPr/>
        <w:t>DATE:</w:t>
        <w:tab/>
        <w:tab/>
        <w:t>October 26, 2000</w: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ab/>
        <w:t>The purposes of this memorandum is to suggest a course of action, consistent with the Independent Energy Producers Association (“IEP”) “market response” efforts, responsive to a number of recent and upcoming Federal Energy Regulatory Commission (“FERC” or “Commission”) filings.  This memorandum begins with an overview of the timing parameters for this effort, then provides a brief background on the various FERC proceedings to which IEP will be responding, and concludes with a skeletal outline of IEP’s response.</w:t>
      </w:r>
    </w:p>
    <w:p>
      <w:pPr>
        <w:pStyle w:val="Normal"/>
        <w:rPr/>
      </w:pPr>
      <w:r>
        <w:rPr/>
      </w:r>
    </w:p>
    <w:p>
      <w:pPr>
        <w:pStyle w:val="Normal"/>
        <w:rPr/>
      </w:pPr>
      <w:r>
        <w:rPr/>
        <w:tab/>
        <w:t xml:space="preserve">Various activities focusing FERC’s attention upon the California markets—including  filings by market participants alleging generator market power abuse and terminal market dysfunction—now provide a unique opportunity to move forward with the Market Response Project team’s considerable efforts.  IEP’s responses to developments and processes at FERC provide a means to take the issues that the team has been grappling with, including the development of key themes as part of an education outreach program, and effectively deliver them to key decision makers and other market participants. Thus, as described in greater detail in this memorandum, we believe that IEP’s FERC efforts ought to: (1) aggressively respond to allegations concerning market “dysfunction”, the exercise of market power abuse, etc., and (2) provide a clear set of recommendations and specific solutions to the problems plaguing the marketplace (or, alternatively, “paths” to solutions if the team has not yet reached consensus on specific solutions to be articulated in a public forum).  As described below, the upcoming FERC filing may therefore be seen as a means for drawing together the work of the group, and perhaps accelerate the development of products and materials for use in California as part of the broader IEP Education and Outreach activities developed to date by the team. </w:t>
      </w:r>
    </w:p>
    <w:p>
      <w:pPr>
        <w:pStyle w:val="Normal"/>
        <w:rPr/>
      </w:pPr>
      <w:r>
        <w:rPr/>
      </w:r>
    </w:p>
    <w:p>
      <w:pPr>
        <w:pStyle w:val="Normal"/>
        <w:rPr/>
      </w:pPr>
      <w:r>
        <w:rPr/>
        <w:tab/>
        <w:t>It is our intention that this memorandum provide the details for the IEP discussion scheduled for October 27, 2000.  Based on the outcome of that discussion, we will develop and complete the required materials and filings.</w:t>
      </w:r>
    </w:p>
    <w:p>
      <w:pPr>
        <w:pStyle w:val="Normal"/>
        <w:rPr/>
      </w:pPr>
      <w:r>
        <w:rPr/>
      </w:r>
    </w:p>
    <w:p>
      <w:pPr>
        <w:pStyle w:val="Heading1"/>
        <w:ind w:hanging="0" w:start="0"/>
        <w:rPr/>
      </w:pPr>
      <w:r>
        <w:rPr/>
        <w:t>Timing Parameters</w:t>
      </w:r>
    </w:p>
    <w:p>
      <w:pPr>
        <w:pStyle w:val="Normal"/>
        <w:rPr/>
      </w:pPr>
      <w:r>
        <w:rPr/>
      </w:r>
    </w:p>
    <w:p>
      <w:pPr>
        <w:pStyle w:val="Heading1"/>
        <w:ind w:hanging="0" w:start="0"/>
        <w:rPr/>
      </w:pPr>
      <w:r>
        <w:rPr>
          <w:b w:val="false"/>
          <w:bCs w:val="false"/>
          <w:u w:val="none"/>
        </w:rPr>
        <w:tab/>
        <w:t xml:space="preserve">On October 19, 2000, FERC issued its </w:t>
      </w:r>
      <w:r>
        <w:rPr>
          <w:b w:val="false"/>
          <w:bCs w:val="false"/>
          <w:i/>
          <w:iCs/>
          <w:u w:val="none"/>
        </w:rPr>
        <w:t>Order Announcing Expedited Procedures For Addressing California Market Issues</w:t>
      </w:r>
      <w:r>
        <w:rPr>
          <w:b w:val="false"/>
          <w:bCs w:val="false"/>
          <w:u w:val="none"/>
        </w:rPr>
        <w:t xml:space="preserve"> in the SDG&amp;E Complaint and related FERC Investigation dockets (EL00-95-000 and E00-98-000) (“October Procedures Order”).  We suggest that IEP’s FERC efforts anticipate these upcoming events as well as respond to some specific filings.  The October Procedures Order set the following timeline:</w:t>
      </w:r>
    </w:p>
    <w:p>
      <w:pPr>
        <w:pStyle w:val="Normal"/>
        <w:rPr>
          <w:b/>
          <w:bCs/>
          <w:u w:val="none"/>
        </w:rPr>
      </w:pPr>
      <w:r>
        <w:rPr>
          <w:b/>
          <w:bCs/>
          <w:u w:val="none"/>
        </w:rPr>
      </w:r>
    </w:p>
    <w:p>
      <w:pPr>
        <w:pStyle w:val="Normal"/>
        <w:numPr>
          <w:ilvl w:val="0"/>
          <w:numId w:val="2"/>
        </w:numPr>
        <w:rPr/>
      </w:pPr>
      <w:r>
        <w:rPr/>
        <w:t>November 1, 2000: FERC “special meeting” to consider issuance of a proposed order that proposes specific remedies to address the issues set for hearing in the August 23 Order as well as additional procedural steps.  The FERC’s staff reports on California and Western regional market conditions will be released on this date as well;</w:t>
      </w:r>
    </w:p>
    <w:p>
      <w:pPr>
        <w:pStyle w:val="Normal"/>
        <w:ind w:start="360" w:end="0"/>
        <w:rPr/>
      </w:pPr>
      <w:r>
        <w:rPr/>
      </w:r>
    </w:p>
    <w:p>
      <w:pPr>
        <w:pStyle w:val="Normal"/>
        <w:numPr>
          <w:ilvl w:val="0"/>
          <w:numId w:val="2"/>
        </w:numPr>
        <w:rPr/>
      </w:pPr>
      <w:r>
        <w:rPr/>
        <w:t>Three weeks after issuance of the proposed decision, parties may file comments on the proposed remedies, including the provision of additional facts and/or comments on facts and arguments presented in earlier September hearings in San Diego;</w:t>
      </w:r>
    </w:p>
    <w:p>
      <w:pPr>
        <w:pStyle w:val="Normal"/>
        <w:ind w:start="360" w:end="0"/>
        <w:rPr/>
      </w:pPr>
      <w:r>
        <w:rPr/>
      </w:r>
    </w:p>
    <w:p>
      <w:pPr>
        <w:pStyle w:val="Normal"/>
        <w:numPr>
          <w:ilvl w:val="0"/>
          <w:numId w:val="2"/>
        </w:numPr>
        <w:rPr/>
      </w:pPr>
      <w:r>
        <w:rPr/>
        <w:t>November 9, 2000: FERC will hold a “public conference” to discuss proposed remedies.  The date and time will be stated in a separate order;</w:t>
      </w:r>
    </w:p>
    <w:p>
      <w:pPr>
        <w:pStyle w:val="Normal"/>
        <w:rPr/>
      </w:pPr>
      <w:r>
        <w:rPr/>
      </w:r>
    </w:p>
    <w:p>
      <w:pPr>
        <w:pStyle w:val="Normal"/>
        <w:numPr>
          <w:ilvl w:val="0"/>
          <w:numId w:val="2"/>
        </w:numPr>
        <w:rPr/>
      </w:pPr>
      <w:r>
        <w:rPr/>
        <w:t>By the end of the year, based on the record in the case, FERC will issue an order “adopting and directing remedies (to the extent those remedies are within our jurisdiction) to promptly address to the extent possible the identified problems adversely affecting competitive power markets in California and, if necessary, ordering any further proceedings to develop remedies to other identified problems.</w:t>
      </w:r>
    </w:p>
    <w:p>
      <w:pPr>
        <w:pStyle w:val="Normal"/>
        <w:rPr/>
      </w:pPr>
      <w:r>
        <w:rPr/>
      </w:r>
    </w:p>
    <w:p>
      <w:pPr>
        <w:pStyle w:val="Normal"/>
        <w:rPr/>
      </w:pPr>
      <w:r>
        <w:rPr/>
        <w:t xml:space="preserve">Additionally, there have been some additional filings by parties, notably the Joint Motion by SCE, PG&amp;E and TURN, the “Settlement” filed by CAISO, the Motion by the CPUC and a separate filing by SDG&amp;E, all asserting that the California market is not competitive and calling for either price caps or other mechanisms during a “transition period.”  Those filings are detailed below.  These filings are designed to influence FERC’s proposed order, and therefore IEP should make some initial responses to the various motions, but primarily focus on anticipating the upcoming round of comments to FERC’s proposed order.  Under FERC’s rules, responses to motions are due 15 days after filing.  Therefore the earliest response date would be October 31 if IEP were to choose to respond to the Joint Motion.  Alternatively, we suggest filing a “placeholder” in response to the Joint Motion which would then point to a subsequent filing to be made consistent with the Commission’s anticipated November 1 Order.  </w:t>
      </w:r>
      <w:r>
        <w:br w:type="page"/>
      </w:r>
    </w:p>
    <w:p>
      <w:pPr>
        <w:pStyle w:val="Normal"/>
        <w:rPr/>
      </w:pPr>
      <w:r>
        <w:rPr/>
      </w:r>
    </w:p>
    <w:p>
      <w:pPr>
        <w:pStyle w:val="Heading1"/>
        <w:ind w:hanging="0" w:start="0"/>
        <w:rPr/>
      </w:pPr>
      <w:r>
        <w:rPr/>
        <w:t>Background on Regulatory Proceedings and Issues</w:t>
      </w:r>
    </w:p>
    <w:p>
      <w:pPr>
        <w:pStyle w:val="Normal"/>
        <w:rPr/>
      </w:pPr>
      <w:r>
        <w:rPr/>
      </w:r>
    </w:p>
    <w:p>
      <w:pPr>
        <w:pStyle w:val="Heading2"/>
        <w:ind w:hanging="0" w:start="0"/>
        <w:rPr/>
      </w:pPr>
      <w:r>
        <w:rPr/>
        <w:t>PG&amp;E, SCE and TURN “Joint Motion”</w:t>
      </w:r>
    </w:p>
    <w:p>
      <w:pPr>
        <w:pStyle w:val="Header"/>
        <w:tabs>
          <w:tab w:val="clear" w:pos="4320"/>
          <w:tab w:val="clear" w:pos="8640"/>
        </w:tabs>
        <w:rPr/>
      </w:pPr>
      <w:r>
        <w:rPr/>
      </w:r>
    </w:p>
    <w:p>
      <w:pPr>
        <w:pStyle w:val="Normal"/>
        <w:ind w:firstLine="720" w:end="0"/>
        <w:rPr/>
      </w:pPr>
      <w:r>
        <w:rPr/>
        <w:t xml:space="preserve">SDG&amp;E’s Complaint (docket EL00-95-000) and the related FERC Investigation (docket EL00-98-000), have been the subject of some recent procedural maneuvers.  The first item, dated October 16, 2000, is the </w:t>
      </w:r>
      <w:r>
        <w:rPr>
          <w:i/>
          <w:iCs/>
        </w:rPr>
        <w:t>Joint Motion for Emergency Relief and Further Proceedings of Pacific Gas and Electric Company, Southern California Edison Company, and The Utility Reform Network</w:t>
      </w:r>
      <w:r>
        <w:rPr/>
        <w:t>.</w:t>
      </w:r>
      <w:r>
        <w:rPr>
          <w:rStyle w:val="FootnoteCharacters"/>
          <w:rStyle w:val="FootnoteReference"/>
        </w:rPr>
        <w:footnoteReference w:id="2"/>
      </w:r>
      <w:r>
        <w:rPr/>
        <w:t xml:space="preserve"> (“Joint Motion”) is the subject of an October 19 memorandum from Andy Brown.  According to the FERC’s rules, any answer to the Joint Motion would be due 15 days from filing, which is October 31, 2000.</w:t>
      </w:r>
    </w:p>
    <w:p>
      <w:pPr>
        <w:pStyle w:val="Normal"/>
        <w:ind w:firstLine="720" w:end="0"/>
        <w:rPr/>
      </w:pPr>
      <w:r>
        <w:rPr/>
      </w:r>
    </w:p>
    <w:p>
      <w:pPr>
        <w:pStyle w:val="Normal"/>
        <w:ind w:firstLine="720" w:end="0"/>
        <w:rPr/>
      </w:pPr>
      <w:r>
        <w:rPr/>
        <w:t xml:space="preserve">The Joint Motion calls upon FERC to issue an order that does four things: (1) find that the prices from the markets are unjust and unreasonable; (2) provides “emergency interim relief” (aka the $100/MWh price cap exclusive of emergency OOM call pricing); (3) gather cost-of-service data from all generators subject to a PGA; and, (4) institute an expedited proceeding—potentially without examination of witnesses—to adopt “comprehensive market-power mitigation measures” that would replace the “emergency interim relief.”  The Motion contemplates that the “emergency interim relief” would be in place through the off-peak season of 2000-2001, and would end with a replacement market power mitigation measure that would be implemented following a Commission decision before May 2001.  The motion builds upon arguments made in the SDG&amp;E Complaint and reiterates the argument that any generator operating during most hours should be able to cover all costs (including return) under a $100/MWh price cap.  The Joint Motion would give CAISO the ability “to compel any generator that has signed a PGA [Participating Generator Agreement] to operate at no more than the $100/MWh cap.”  Motion at 22-23.  If plants cannot operate under that cap, the plant could file and attempt to justify higher cost-based rates specific to the unit, subject to refund.  Prohibitions would be created to foreclose so-called “return scheduling” to avoid the price cap.  </w:t>
      </w:r>
    </w:p>
    <w:p>
      <w:pPr>
        <w:pStyle w:val="Normal"/>
        <w:ind w:firstLine="720" w:end="0"/>
        <w:rPr/>
      </w:pPr>
      <w:r>
        <w:rPr/>
      </w:r>
    </w:p>
    <w:p>
      <w:pPr>
        <w:pStyle w:val="Normal"/>
        <w:ind w:firstLine="720" w:end="0"/>
        <w:rPr/>
      </w:pPr>
      <w:r>
        <w:rPr/>
        <w:t>Procedurally, the Joint Motion asks FERC to set up the following timeline: (1) 30 days after the FERC order on the Joint Motion generators would file cost-of-service data; (2) “expedited discovery” would occur as determined by the FERC; (3) 60 days after the FERC order on the Motion initial testimony and briefs would be due; (4) 45 days later rebuttal testimony and briefs would be due.  The Joint Movants suggest that three objectives should guide the expedited “paper hearings” in this case: (A) development of a comprehensive market-power mitigation mechanism that would replace the $100 MWh price cap (or cost-based proxy) described below; (B) creation of a process to correct structural and design flaws and bring supply and demand into balance; and, (C) determination of the level of, and responsibility for, refunds of unjust and unreasonable rates charged (including “clawback” adjustments).  Joint Motion at 31.</w:t>
      </w:r>
      <w:r>
        <w:br w:type="page"/>
      </w:r>
    </w:p>
    <w:p>
      <w:pPr>
        <w:pStyle w:val="Normal"/>
        <w:ind w:firstLine="720" w:end="0"/>
        <w:rPr/>
      </w:pPr>
      <w:r>
        <w:rPr/>
      </w:r>
    </w:p>
    <w:p>
      <w:pPr>
        <w:pStyle w:val="Heading2"/>
        <w:ind w:hanging="0" w:start="0"/>
        <w:rPr>
          <w:u w:val="single"/>
        </w:rPr>
      </w:pPr>
      <w:r>
        <w:rPr/>
        <w:t>CPUC Motion</w:t>
      </w:r>
    </w:p>
    <w:p>
      <w:pPr>
        <w:pStyle w:val="Normal"/>
        <w:ind w:firstLine="720" w:end="0"/>
        <w:rPr>
          <w:u w:val="single"/>
        </w:rPr>
      </w:pPr>
      <w:r>
        <w:rPr>
          <w:u w:val="single"/>
        </w:rPr>
      </w:r>
    </w:p>
    <w:p>
      <w:pPr>
        <w:pStyle w:val="Normal"/>
        <w:ind w:firstLine="720" w:end="0"/>
        <w:rPr/>
      </w:pPr>
      <w:r>
        <w:rPr/>
        <w:t xml:space="preserve">On October 18, the California Public Utilities Commission (“CPUC”) filed its </w:t>
      </w:r>
      <w:r>
        <w:rPr>
          <w:i/>
          <w:iCs/>
        </w:rPr>
        <w:t>Motion for Interim Relief of the Public Utilities Commission of California</w:t>
      </w:r>
      <w:r>
        <w:rPr/>
        <w:t>.  (“CPUC Motion.”)  Under the FERC rules answers would be due November 2.  The CPUC Motion asserts that the price results from California’s markets—in and of themselves—establish their own unreasonableness, and that California’s markets fail at all load levels.  This is much broader than the assertions made in the original SDG&amp;E Complaint and differs from CAISO’s opinion that market power exists in a limited number hours during very high demand.</w:t>
      </w:r>
      <w:r>
        <w:rPr>
          <w:rStyle w:val="FootnoteCharacters"/>
          <w:rStyle w:val="FootnoteReference"/>
        </w:rPr>
        <w:footnoteReference w:id="3"/>
      </w:r>
      <w:r>
        <w:rPr/>
        <w:t xml:space="preserve">  The CPUC Motion also asserts that the CAISO purchase price caps have not worked in terms of lowering average prices, and that current trends appear to suggest exceptionally high prices during low demand and off-peak hours.</w:t>
      </w:r>
      <w:r>
        <w:rPr>
          <w:rStyle w:val="FootnoteCharacters"/>
          <w:rStyle w:val="FootnoteReference"/>
        </w:rPr>
        <w:footnoteReference w:id="4"/>
      </w:r>
    </w:p>
    <w:p>
      <w:pPr>
        <w:pStyle w:val="Normal"/>
        <w:ind w:firstLine="720" w:end="0"/>
        <w:rPr/>
      </w:pPr>
      <w:r>
        <w:rPr/>
      </w:r>
    </w:p>
    <w:p>
      <w:pPr>
        <w:pStyle w:val="Normal"/>
        <w:ind w:firstLine="720" w:end="0"/>
        <w:rPr/>
      </w:pPr>
      <w:r>
        <w:rPr/>
        <w:t>In terms of requested relief, the CPUC Motion asks FERC to take two steps: (1) require CAISO to “impose load differentiated price caps”; and (2) require “jurisdictional generators and marketers to offer forward contracts for a portion of their resources at FERC regulated rates, terms and conditions.  These steps, in the CPUC’s opinion, will “reestablish a nexus between costs and prices.</w:t>
      </w:r>
    </w:p>
    <w:p>
      <w:pPr>
        <w:pStyle w:val="Normal"/>
        <w:ind w:firstLine="720" w:end="0"/>
        <w:rPr/>
      </w:pPr>
      <w:r>
        <w:rPr/>
      </w:r>
    </w:p>
    <w:p>
      <w:pPr>
        <w:pStyle w:val="Normal"/>
        <w:ind w:firstLine="720" w:end="0"/>
        <w:rPr/>
      </w:pPr>
      <w:r>
        <w:rPr/>
        <w:t>The CPUC’s concept of “load differentiated price caps” is taken from a TURN proposal to the CAISO Board offered on October 4.  The proposal takes six tiers of system load ranges and ties them to proxy plant heat rates (varying from 9,300 at 20,000 MW demand to 18,000 at 40,000 MW+ demand) multiplies that by an indexed Topock &amp; Malin forward contract price plus a “local transportation” adder, adds 10% to the resulting price and rounds up to the nearest $5 to develop the price cap.  These caps would be effective each month, and the applicable cap would be based on CAISO’s 2-Day Ahead load forecast.  For example, if CAISO forecasts loads exceeding 30,000 (but below 35,000), the applicable price cap would be $70/MWh, based on a indexed gas price proxy of $6.00/MMBtu.  In the CPUC’s opinion, this proposal, “is superior to a static price cap because it seeks to tie prices to costs by setting the price cap at a level which reflects the actual operating costs of units on the margin at various load levels.</w:t>
      </w:r>
    </w:p>
    <w:p>
      <w:pPr>
        <w:pStyle w:val="Normal"/>
        <w:ind w:firstLine="720" w:end="0"/>
        <w:rPr/>
      </w:pPr>
      <w:r>
        <w:rPr/>
      </w:r>
    </w:p>
    <w:p>
      <w:pPr>
        <w:pStyle w:val="Normal"/>
        <w:ind w:firstLine="720" w:end="0"/>
        <w:rPr/>
      </w:pPr>
      <w:r>
        <w:rPr/>
        <w:t>As for “mandatory forward contracts,” the CPUC Motion indicates that it was “scooping” an CAISO proposal (see below).  Generally speaking, the proposal would require generators and marketers to make cost-based filings with the Commission from which settlement proceedings would develop FERC approved terms, conditions and prices.  The generators and marketers would then be required to contract with “load serving entities” for some percentage (70-85%) of their capacity.  Apparently, failure to forward contract would disqualify the entity from participation in the California market.  As the CPUC Motion calls for consolidation of the ISO proposal, IEP should instead address the concept in the context of the ISO documents.</w:t>
      </w:r>
    </w:p>
    <w:p>
      <w:pPr>
        <w:pStyle w:val="Normal"/>
        <w:ind w:firstLine="720" w:end="0"/>
        <w:rPr/>
      </w:pPr>
      <w:r>
        <w:rPr/>
      </w:r>
    </w:p>
    <w:p>
      <w:pPr>
        <w:pStyle w:val="Heading2"/>
        <w:ind w:hanging="0" w:start="0"/>
        <w:rPr/>
      </w:pPr>
      <w:r>
        <w:rPr/>
        <w:t>CAISO “Settlement”</w:t>
      </w:r>
    </w:p>
    <w:p>
      <w:pPr>
        <w:pStyle w:val="Normal"/>
        <w:ind w:firstLine="720" w:end="0"/>
        <w:rPr/>
      </w:pPr>
      <w:r>
        <w:rPr/>
      </w:r>
    </w:p>
    <w:p>
      <w:pPr>
        <w:pStyle w:val="Normal"/>
        <w:ind w:firstLine="720" w:end="0"/>
        <w:rPr/>
      </w:pPr>
      <w:r>
        <w:rPr/>
        <w:t>On October 20 the CAISO filed its self-styled “Settlement” in EL00-95-000 (the SDG&amp;E Complaint proceeding), which would impose a $100/MWh “bid cap” upon those generation entities who cannot show that they have entered forward agreements for at least 70% of their supply capacity, while maintaining the $250/MWh “price cap” of entities with forward arrangements equal or exceeding the arbitrary 70% figure.  Terry Winter held a press conference on this proposal, which seeks to create incentives for parties to schedule transactions in the forward markets rather than forcing the ISO to procure energy for them in real time.  CAISO explicitly states that there is no value in placing blame for the current market issues, but rather that parties should focus on getting programs in place in anticipation of next summer.  The tone of CAISO’s filing, and its call for consensus building, sets it apart from the other filings.</w:t>
      </w:r>
    </w:p>
    <w:p>
      <w:pPr>
        <w:pStyle w:val="Normal"/>
        <w:ind w:firstLine="720" w:end="0"/>
        <w:rPr/>
      </w:pPr>
      <w:r>
        <w:rPr/>
      </w:r>
    </w:p>
    <w:p>
      <w:pPr>
        <w:pStyle w:val="Normal"/>
        <w:ind w:firstLine="720" w:end="0"/>
        <w:rPr/>
      </w:pPr>
      <w:r>
        <w:rPr/>
        <w:t xml:space="preserve">The CAISO document describes a number of its efforts, including the Comprehensive Market Redesign, its “Peaking Resources” solicitation, and the “Emergency Demand Response” efforts as examples of CAISO’s work to improve market operations.  Inherent in their position is the concept of “bifurcating” the markets such that the costs for peaking units or serving short duration demand does not drive up the cost for the bulk of supplies: “By establishing a differentiated pricing regime for peaking resources, the goals of assuring those units a fair opportunity of cost recovery, while insulating the traditional markets from inappropriate upward price pressure, can be realized.” CAISO Transmittal at 6.  </w:t>
      </w:r>
    </w:p>
    <w:p>
      <w:pPr>
        <w:pStyle w:val="Normal"/>
        <w:ind w:firstLine="720" w:end="0"/>
        <w:rPr/>
      </w:pPr>
      <w:r>
        <w:rPr/>
      </w:r>
    </w:p>
    <w:p>
      <w:pPr>
        <w:pStyle w:val="BodyTextIndent"/>
        <w:rPr/>
      </w:pPr>
      <w:r>
        <w:rPr/>
        <w:t>CAISO characterizes the “Settlement” proposal as a, “parallel action to protect against the potential for the system-wide exercise of market power—that is, market power this is not the result of locational advantage—must be put in place as soon as practicable.”  Transmittal at 6.  In essence, the argument is that at periods of high demand the supplying entities and the market prices must be constrained.  The CAISO describes the proposal as follows:</w:t>
      </w:r>
    </w:p>
    <w:p>
      <w:pPr>
        <w:pStyle w:val="Normal"/>
        <w:ind w:firstLine="720" w:end="0"/>
        <w:rPr/>
      </w:pPr>
      <w:r>
        <w:rPr/>
      </w:r>
    </w:p>
    <w:p>
      <w:pPr>
        <w:pStyle w:val="doubleindent"/>
        <w:rPr/>
      </w:pPr>
      <w:r>
        <w:rPr/>
        <w:t>Namely, the ISO proposes that the price cap be established at $100/Mwhr with the following exemptions:</w:t>
      </w:r>
      <w:r>
        <w:rPr>
          <w:rStyle w:val="FootnoteCharacters"/>
          <w:rStyle w:val="FootnoteReference"/>
        </w:rPr>
        <w:footnoteReference w:id="5"/>
      </w:r>
      <w:r>
        <w:rPr/>
        <w:t>(1) if an owner demonstrates that a payment of $100/Mwhr would be insufficient to cover the variable operating cost of a unit and make some reasonable contribution to fixed cost recovery, a higher cap would be fixed for that unit but that price would not establish the Market Clearing Price; (2) Generation fired by renewables would be exempt; (3) owners and operators whose units do not exceed 50 MW would be exempt; (4) incremental Generation (additions to existing units and new units) would be exempt; (5) any owner or marketer who demonstrates that it has committed 70% or more of the availability of its in-State portfolio to an in-State Load-serving entity for a term extending at least through October 15, 2002, would be exempt, and (6) imports would be exempt.</w:t>
      </w:r>
      <w:r>
        <w:rPr>
          <w:rStyle w:val="FootnoteCharacters"/>
          <w:rStyle w:val="FootnoteReference"/>
        </w:rPr>
        <w:footnoteReference w:id="6"/>
      </w:r>
      <w:r>
        <w:rPr/>
        <w:t xml:space="preserve">  Exempt units would be subject to whatever higher damage-control price cap is in place.</w:t>
      </w:r>
      <w:r>
        <w:rPr>
          <w:rStyle w:val="FootnoteCharacters"/>
          <w:rStyle w:val="FootnoteReference"/>
        </w:rPr>
        <w:footnoteReference w:id="7"/>
      </w:r>
      <w:r>
        <w:rPr/>
        <w:t xml:space="preserve"> It is the ISO’s expectation that the combined effect of the $100/Mwhr price cap with the availability of an exemption from that limitation will incline those that own or control Generation resources to forward contract.</w:t>
      </w:r>
    </w:p>
    <w:p>
      <w:pPr>
        <w:pStyle w:val="doubleindent"/>
        <w:rPr/>
      </w:pPr>
      <w:r>
        <w:rPr/>
      </w:r>
    </w:p>
    <w:p>
      <w:pPr>
        <w:pStyle w:val="doubleindent"/>
        <w:rPr/>
      </w:pPr>
      <w:r>
        <w:rPr/>
        <w:t>As a corollary measure, it is proposed that Load be required to forward contract for no less than 85% of projected requirements, as adjusted by season and time-of-day. Generation currently owned by Load-serving entities would be counted in satisfaction of the 85% requirement. Finally, while forward contracting should go a long way toward resolution of the underscheduling problem, Scheduling Coordinators would be required to schedule no less than 90% of Load in the Day-Ahead Market and no less than 95% in the Hour-Ahead Market. A charge would be assessed against Load and Generation that appears in real-time and that exceeds 1.10 and 1.05 times the balanced schedules submitted, respectively, in the Day-Ahead and Hour-Ahead Markets, and out-of-market costs would be charged to underscheduled Load and to Generation appearing in real-time in excess of balanced schedules. (Transmittal at 7.)</w:t>
      </w:r>
    </w:p>
    <w:p>
      <w:pPr>
        <w:pStyle w:val="Normal"/>
        <w:ind w:firstLine="720" w:end="0"/>
        <w:rPr/>
      </w:pPr>
      <w:r>
        <w:rPr/>
      </w:r>
    </w:p>
    <w:p>
      <w:pPr>
        <w:pStyle w:val="Normal"/>
        <w:ind w:firstLine="720" w:end="0"/>
        <w:rPr/>
      </w:pPr>
      <w:r>
        <w:rPr/>
        <w:t>This appears to the functionally equivalent to a proposal brought forward by Terry Winter during a telephonic Board meeting more than a month ago.  IEP should consider keying off this proposal in terms of its positioning for the coming FERC processes.</w:t>
      </w:r>
    </w:p>
    <w:p>
      <w:pPr>
        <w:pStyle w:val="Normal"/>
        <w:ind w:firstLine="720" w:end="0"/>
        <w:rPr/>
      </w:pPr>
      <w:r>
        <w:rPr/>
      </w:r>
    </w:p>
    <w:p>
      <w:pPr>
        <w:pStyle w:val="Heading2"/>
        <w:ind w:hanging="0" w:start="0"/>
        <w:rPr/>
      </w:pPr>
      <w:r>
        <w:rPr/>
        <w:t>San Diego’s Mystery Filing</w:t>
      </w:r>
    </w:p>
    <w:p>
      <w:pPr>
        <w:pStyle w:val="Normal"/>
        <w:rPr/>
      </w:pPr>
      <w:r>
        <w:rPr/>
      </w:r>
    </w:p>
    <w:p>
      <w:pPr>
        <w:pStyle w:val="Normal"/>
        <w:ind w:firstLine="720" w:end="0"/>
        <w:rPr/>
      </w:pPr>
      <w:r>
        <w:rPr/>
        <w:t xml:space="preserve">According to press accounts from last week, SDG&amp;E apparently filed a “me too” motion on October 20.  Unfortunately, IEP has not been able to secure a copy of this document, and it is not appearing on FERC’s list of filed documents.  Based on the press accounts, however, it appears to be another call for the imposition of cost-based rates.  </w:t>
      </w:r>
    </w:p>
    <w:p>
      <w:pPr>
        <w:pStyle w:val="Normal"/>
        <w:ind w:firstLine="720" w:end="0"/>
        <w:rPr/>
      </w:pPr>
      <w:r>
        <w:rPr/>
      </w:r>
    </w:p>
    <w:p>
      <w:pPr>
        <w:pStyle w:val="Heading2"/>
        <w:ind w:hanging="0" w:start="0"/>
        <w:rPr/>
      </w:pPr>
      <w:r>
        <w:rPr/>
        <w:t>Enron’s Whitepaper</w:t>
      </w:r>
    </w:p>
    <w:p>
      <w:pPr>
        <w:pStyle w:val="Normal"/>
        <w:ind w:firstLine="720" w:end="0"/>
        <w:rPr/>
      </w:pPr>
      <w:r>
        <w:rPr/>
      </w:r>
    </w:p>
    <w:p>
      <w:pPr>
        <w:pStyle w:val="Normal"/>
        <w:ind w:firstLine="720" w:end="0"/>
        <w:rPr/>
      </w:pPr>
      <w:r>
        <w:rPr/>
        <w:t xml:space="preserve">Rounding out the flood of documents filed on October 20 is a whitepaper sponsored by Enron.  </w:t>
      </w:r>
      <w:r>
        <w:rPr>
          <w:i/>
          <w:iCs/>
        </w:rPr>
        <w:t>Fixing What is Broken: What Steps are Needed to Complete California’s Power Markets?</w:t>
      </w:r>
      <w:r>
        <w:rPr/>
        <w:t xml:space="preserve"> is authored by Seabron Adamson of Frontier Economics and Carl Imparato of Tabors Caramanis and Associates.  Stated very simply, the whitepaper argues the following points: (1) more transparency is needed in terms of market information to improve efficient arbitrage; (2) accurate price signals must be developed (to allow both wholesale and retail markets to function) by removing price caps, create demand price signals, and ending pricing discrimination in terms of the dominant retail and wholesale participants; (3) improve the forwards and risk management markets, particularly in terms of regulatory constraints on the UDCs; and, (4) revise the governance of the CAISO and CalPX by removing “stakeholders” and populating the board with “industry experts.”  </w:t>
      </w:r>
    </w:p>
    <w:p>
      <w:pPr>
        <w:pStyle w:val="Heading1"/>
        <w:ind w:hanging="0" w:start="0"/>
        <w:rPr>
          <w:b w:val="false"/>
          <w:bCs w:val="false"/>
          <w:u w:val="none"/>
        </w:rPr>
      </w:pPr>
      <w:r>
        <w:rPr>
          <w:b w:val="false"/>
          <w:bCs w:val="false"/>
          <w:u w:val="none"/>
        </w:rPr>
      </w:r>
    </w:p>
    <w:p>
      <w:pPr>
        <w:pStyle w:val="Heading1"/>
        <w:ind w:hanging="0" w:start="0"/>
        <w:rPr/>
      </w:pPr>
      <w:r>
        <w:rPr/>
        <w:t>Proposed IEP Response</w:t>
      </w:r>
    </w:p>
    <w:p>
      <w:pPr>
        <w:pStyle w:val="Normal"/>
        <w:rPr/>
      </w:pPr>
      <w:r>
        <w:rPr/>
      </w:r>
    </w:p>
    <w:p>
      <w:pPr>
        <w:pStyle w:val="Normal"/>
        <w:rPr/>
      </w:pPr>
      <w:r>
        <w:rPr/>
        <w:tab/>
        <w:t xml:space="preserve">Below is an outline setting out a scope of response for IEP in anticipation of the FERC Order that will be coming out on November 1.  This is an initial draft that will be modified according to our discussions as well as the FERC Order that is ultimately adopted.  From the tenor of the FERC’s October Procedures Order, it is clear that we should have robust references to the existing record and/or supplement that record with additional information which will support our positions.  </w:t>
      </w:r>
    </w:p>
    <w:p>
      <w:pPr>
        <w:pStyle w:val="Header"/>
        <w:numPr>
          <w:ilvl w:val="0"/>
          <w:numId w:val="3"/>
        </w:numPr>
        <w:tabs>
          <w:tab w:val="clear" w:pos="4320"/>
          <w:tab w:val="clear" w:pos="8640"/>
        </w:tabs>
        <w:spacing w:before="40" w:after="40"/>
        <w:rPr>
          <w:b/>
        </w:rPr>
      </w:pPr>
      <w:r>
        <w:rPr>
          <w:b/>
        </w:rPr>
        <w:t>Problems</w:t>
      </w:r>
    </w:p>
    <w:p>
      <w:pPr>
        <w:pStyle w:val="Header"/>
        <w:numPr>
          <w:ilvl w:val="1"/>
          <w:numId w:val="3"/>
        </w:numPr>
        <w:tabs>
          <w:tab w:val="clear" w:pos="4320"/>
          <w:tab w:val="clear" w:pos="8640"/>
        </w:tabs>
        <w:spacing w:before="40" w:after="40"/>
        <w:rPr/>
      </w:pPr>
      <w:r>
        <w:rPr/>
        <w:t>Supply-Demand imbalance and</w:t>
      </w:r>
    </w:p>
    <w:p>
      <w:pPr>
        <w:pStyle w:val="Header"/>
        <w:numPr>
          <w:ilvl w:val="1"/>
          <w:numId w:val="3"/>
        </w:numPr>
        <w:tabs>
          <w:tab w:val="clear" w:pos="4320"/>
          <w:tab w:val="clear" w:pos="8640"/>
        </w:tabs>
        <w:spacing w:before="40" w:after="40"/>
        <w:rPr/>
      </w:pPr>
      <w:r>
        <w:rPr/>
        <w:t>Over-reliance on spot market and on imports</w:t>
      </w:r>
    </w:p>
    <w:p>
      <w:pPr>
        <w:pStyle w:val="Header"/>
        <w:numPr>
          <w:ilvl w:val="1"/>
          <w:numId w:val="3"/>
        </w:numPr>
        <w:tabs>
          <w:tab w:val="clear" w:pos="4320"/>
          <w:tab w:val="clear" w:pos="8640"/>
        </w:tabs>
        <w:spacing w:before="40" w:after="40"/>
        <w:rPr/>
      </w:pPr>
      <w:r>
        <w:rPr/>
        <w:t>resulting in:</w:t>
      </w:r>
    </w:p>
    <w:p>
      <w:pPr>
        <w:pStyle w:val="Header"/>
        <w:numPr>
          <w:ilvl w:val="2"/>
          <w:numId w:val="3"/>
        </w:numPr>
        <w:tabs>
          <w:tab w:val="clear" w:pos="4320"/>
          <w:tab w:val="clear" w:pos="8640"/>
        </w:tabs>
        <w:spacing w:before="40" w:after="40"/>
        <w:rPr/>
      </w:pPr>
      <w:r>
        <w:rPr/>
        <w:t>High volatility (see Wolak p 10)</w:t>
      </w:r>
    </w:p>
    <w:p>
      <w:pPr>
        <w:pStyle w:val="Header"/>
        <w:numPr>
          <w:ilvl w:val="2"/>
          <w:numId w:val="3"/>
        </w:numPr>
        <w:tabs>
          <w:tab w:val="clear" w:pos="4320"/>
          <w:tab w:val="clear" w:pos="8640"/>
        </w:tabs>
        <w:spacing w:before="40" w:after="40"/>
        <w:rPr/>
      </w:pPr>
      <w:r>
        <w:rPr/>
        <w:t>Threat of service interruptions</w:t>
      </w:r>
    </w:p>
    <w:p>
      <w:pPr>
        <w:pStyle w:val="Header"/>
        <w:numPr>
          <w:ilvl w:val="3"/>
          <w:numId w:val="3"/>
        </w:numPr>
        <w:tabs>
          <w:tab w:val="clear" w:pos="4320"/>
          <w:tab w:val="clear" w:pos="8640"/>
        </w:tabs>
        <w:spacing w:before="40" w:after="40"/>
        <w:rPr/>
      </w:pPr>
      <w:r>
        <w:rPr/>
        <w:t>Numbers of stage 1/2/3 alerts…</w:t>
      </w:r>
    </w:p>
    <w:p>
      <w:pPr>
        <w:pStyle w:val="Header"/>
        <w:numPr>
          <w:ilvl w:val="2"/>
          <w:numId w:val="3"/>
        </w:numPr>
        <w:tabs>
          <w:tab w:val="clear" w:pos="4320"/>
          <w:tab w:val="clear" w:pos="8640"/>
        </w:tabs>
        <w:spacing w:before="40" w:after="40"/>
        <w:rPr/>
      </w:pPr>
      <w:r>
        <w:rPr/>
        <w:t>SDG&amp;E ratepayers affected directly</w:t>
      </w:r>
    </w:p>
    <w:p>
      <w:pPr>
        <w:pStyle w:val="Header"/>
        <w:numPr>
          <w:ilvl w:val="2"/>
          <w:numId w:val="3"/>
        </w:numPr>
        <w:tabs>
          <w:tab w:val="clear" w:pos="4320"/>
          <w:tab w:val="clear" w:pos="8640"/>
        </w:tabs>
        <w:spacing w:before="40" w:after="40"/>
        <w:rPr/>
      </w:pPr>
      <w:r>
        <w:rPr/>
        <w:t>SCE, PG&amp;E caught with high balances in certain regulatory accounts</w:t>
      </w:r>
    </w:p>
    <w:p>
      <w:pPr>
        <w:pStyle w:val="Header"/>
        <w:numPr>
          <w:ilvl w:val="1"/>
          <w:numId w:val="3"/>
        </w:numPr>
        <w:tabs>
          <w:tab w:val="clear" w:pos="4320"/>
          <w:tab w:val="clear" w:pos="8640"/>
        </w:tabs>
        <w:spacing w:before="40" w:after="40"/>
        <w:rPr/>
      </w:pPr>
      <w:r>
        <w:rPr/>
        <w:t>Price caps haven’t solved the problem</w:t>
      </w:r>
    </w:p>
    <w:p>
      <w:pPr>
        <w:pStyle w:val="Header"/>
        <w:numPr>
          <w:ilvl w:val="2"/>
          <w:numId w:val="3"/>
        </w:numPr>
        <w:tabs>
          <w:tab w:val="clear" w:pos="4320"/>
          <w:tab w:val="clear" w:pos="8640"/>
        </w:tabs>
        <w:spacing w:before="40" w:after="40"/>
        <w:rPr/>
      </w:pPr>
      <w:r>
        <w:rPr/>
        <w:t>From $750/MWh to $500/MWh to $250 per MWh, but August prices were still higher than June’s even with a lower price cap (per Wolak)</w:t>
      </w:r>
    </w:p>
    <w:p>
      <w:pPr>
        <w:pStyle w:val="Normal"/>
        <w:spacing w:before="40" w:after="40"/>
        <w:rPr/>
      </w:pPr>
      <w:r>
        <w:rPr/>
      </w:r>
    </w:p>
    <w:p>
      <w:pPr>
        <w:pStyle w:val="Normal"/>
        <w:numPr>
          <w:ilvl w:val="0"/>
          <w:numId w:val="3"/>
        </w:numPr>
        <w:spacing w:before="40" w:after="40"/>
        <w:rPr>
          <w:b/>
        </w:rPr>
      </w:pPr>
      <w:r>
        <w:rPr>
          <w:b/>
        </w:rPr>
        <w:t>Short Term Measures</w:t>
      </w:r>
    </w:p>
    <w:p>
      <w:pPr>
        <w:pStyle w:val="Normal"/>
        <w:numPr>
          <w:ilvl w:val="1"/>
          <w:numId w:val="3"/>
        </w:numPr>
        <w:spacing w:before="40" w:after="40"/>
        <w:rPr>
          <w:b/>
        </w:rPr>
      </w:pPr>
      <w:r>
        <w:rPr>
          <w:b/>
        </w:rPr>
        <w:t>Balanced Procurement Portfolio</w:t>
      </w:r>
    </w:p>
    <w:p>
      <w:pPr>
        <w:pStyle w:val="Normal"/>
        <w:numPr>
          <w:ilvl w:val="2"/>
          <w:numId w:val="3"/>
        </w:numPr>
        <w:spacing w:before="40" w:after="40"/>
        <w:rPr/>
      </w:pPr>
      <w:r>
        <w:rPr/>
        <w:t>Develop bilateral market</w:t>
      </w:r>
    </w:p>
    <w:p>
      <w:pPr>
        <w:pStyle w:val="Normal"/>
        <w:numPr>
          <w:ilvl w:val="3"/>
          <w:numId w:val="3"/>
        </w:numPr>
        <w:spacing w:before="40" w:after="40"/>
        <w:rPr/>
      </w:pPr>
      <w:r>
        <w:rPr/>
        <w:t>Recently allowing UDC bilateral purchasing (Menlo p 6)</w:t>
      </w:r>
    </w:p>
    <w:p>
      <w:pPr>
        <w:pStyle w:val="Normal"/>
        <w:numPr>
          <w:ilvl w:val="3"/>
          <w:numId w:val="3"/>
        </w:numPr>
        <w:spacing w:before="40" w:after="40"/>
        <w:rPr/>
      </w:pPr>
      <w:r>
        <w:rPr/>
        <w:t>Discussion in Wolak pp 6-11</w:t>
      </w:r>
    </w:p>
    <w:p>
      <w:pPr>
        <w:pStyle w:val="Normal"/>
        <w:numPr>
          <w:ilvl w:val="2"/>
          <w:numId w:val="3"/>
        </w:numPr>
        <w:spacing w:before="40" w:after="40"/>
        <w:rPr/>
      </w:pPr>
      <w:r>
        <w:rPr/>
        <w:t xml:space="preserve">Allow hedging on forward markets </w:t>
      </w:r>
    </w:p>
    <w:p>
      <w:pPr>
        <w:pStyle w:val="Normal"/>
        <w:numPr>
          <w:ilvl w:val="3"/>
          <w:numId w:val="3"/>
        </w:numPr>
        <w:spacing w:before="40" w:after="40"/>
        <w:rPr/>
      </w:pPr>
      <w:r>
        <w:rPr/>
        <w:t>“</w:t>
      </w:r>
      <w:r>
        <w:rPr/>
        <w:t>Remove impediments on UDC forward contracting for energy and ancillary services.” Wolak (conclusions)</w:t>
      </w:r>
    </w:p>
    <w:p>
      <w:pPr>
        <w:pStyle w:val="Normal"/>
        <w:numPr>
          <w:ilvl w:val="3"/>
          <w:numId w:val="3"/>
        </w:numPr>
        <w:spacing w:before="40" w:after="40"/>
        <w:rPr/>
      </w:pPr>
      <w:r>
        <w:rPr/>
        <w:t>Discussion in Wolak pp 6-11</w:t>
      </w:r>
    </w:p>
    <w:p>
      <w:pPr>
        <w:pStyle w:val="Normal"/>
        <w:numPr>
          <w:ilvl w:val="2"/>
          <w:numId w:val="3"/>
        </w:numPr>
        <w:spacing w:before="40" w:after="40"/>
        <w:rPr/>
      </w:pPr>
      <w:r>
        <w:rPr/>
        <w:t>Remove or scale back UDC buy/sell obligations into the PX</w:t>
      </w:r>
    </w:p>
    <w:p>
      <w:pPr>
        <w:pStyle w:val="Normal"/>
        <w:numPr>
          <w:ilvl w:val="1"/>
          <w:numId w:val="3"/>
        </w:numPr>
        <w:spacing w:before="40" w:after="40"/>
        <w:rPr>
          <w:b/>
        </w:rPr>
      </w:pPr>
      <w:r>
        <w:rPr>
          <w:b/>
        </w:rPr>
        <w:t>Create Regulatory Stability</w:t>
      </w:r>
    </w:p>
    <w:p>
      <w:pPr>
        <w:pStyle w:val="Normal"/>
        <w:numPr>
          <w:ilvl w:val="2"/>
          <w:numId w:val="3"/>
        </w:numPr>
        <w:spacing w:before="40" w:after="40"/>
        <w:rPr/>
      </w:pPr>
      <w:r>
        <w:rPr/>
        <w:t>Needed to ensure appropriate investment in new generation</w:t>
      </w:r>
    </w:p>
    <w:p>
      <w:pPr>
        <w:pStyle w:val="Normal"/>
        <w:numPr>
          <w:ilvl w:val="2"/>
          <w:numId w:val="3"/>
        </w:numPr>
        <w:spacing w:before="40" w:after="40"/>
        <w:rPr/>
      </w:pPr>
      <w:r>
        <w:rPr/>
        <w:t>Stop messing with price caps—they haven’t been working and will stifle new power development</w:t>
      </w:r>
    </w:p>
    <w:p>
      <w:pPr>
        <w:pStyle w:val="Normal"/>
        <w:numPr>
          <w:ilvl w:val="2"/>
          <w:numId w:val="3"/>
        </w:numPr>
        <w:spacing w:before="40" w:after="40"/>
        <w:rPr/>
      </w:pPr>
      <w:r>
        <w:rPr/>
        <w:t>Establish clear reasonableness standards</w:t>
      </w:r>
    </w:p>
    <w:p>
      <w:pPr>
        <w:pStyle w:val="Normal"/>
        <w:numPr>
          <w:ilvl w:val="3"/>
          <w:numId w:val="3"/>
        </w:numPr>
        <w:spacing w:before="40" w:after="40"/>
        <w:rPr/>
      </w:pPr>
      <w:r>
        <w:rPr/>
        <w:t>UDCs see too much risk of second-guessing if they enter bilateral contracts and forward markets</w:t>
      </w:r>
    </w:p>
    <w:p>
      <w:pPr>
        <w:pStyle w:val="Header"/>
        <w:numPr>
          <w:ilvl w:val="3"/>
          <w:numId w:val="3"/>
        </w:numPr>
        <w:tabs>
          <w:tab w:val="clear" w:pos="4320"/>
          <w:tab w:val="clear" w:pos="8640"/>
        </w:tabs>
        <w:spacing w:before="40" w:after="40"/>
        <w:rPr/>
      </w:pPr>
      <w:r>
        <w:rPr/>
        <w:t>See Wolak p 8</w:t>
      </w:r>
    </w:p>
    <w:p>
      <w:pPr>
        <w:pStyle w:val="Normal"/>
        <w:numPr>
          <w:ilvl w:val="2"/>
          <w:numId w:val="3"/>
        </w:numPr>
        <w:spacing w:before="40" w:after="40"/>
        <w:rPr>
          <w:i/>
          <w:i/>
        </w:rPr>
      </w:pPr>
      <w:r>
        <w:rPr/>
        <w:t xml:space="preserve"> </w:t>
      </w:r>
      <w:r>
        <w:rPr/>
        <w:t xml:space="preserve">UDC’s need reasonable chance to collect stranded cost </w:t>
      </w:r>
    </w:p>
    <w:p>
      <w:pPr>
        <w:pStyle w:val="Normal"/>
        <w:spacing w:before="40" w:after="40"/>
        <w:rPr>
          <w:i/>
          <w:i/>
        </w:rPr>
      </w:pPr>
      <w:r>
        <w:rPr>
          <w:i/>
        </w:rPr>
      </w:r>
    </w:p>
    <w:p>
      <w:pPr>
        <w:pStyle w:val="Normal"/>
        <w:numPr>
          <w:ilvl w:val="0"/>
          <w:numId w:val="3"/>
        </w:numPr>
        <w:spacing w:before="40" w:after="40"/>
        <w:rPr>
          <w:b/>
        </w:rPr>
      </w:pPr>
      <w:r>
        <w:rPr>
          <w:b/>
        </w:rPr>
        <w:t>Longer Term Measures</w:t>
      </w:r>
    </w:p>
    <w:p>
      <w:pPr>
        <w:pStyle w:val="Normal"/>
        <w:numPr>
          <w:ilvl w:val="1"/>
          <w:numId w:val="3"/>
        </w:numPr>
        <w:spacing w:before="40" w:after="40"/>
        <w:rPr>
          <w:b/>
        </w:rPr>
      </w:pPr>
      <w:r>
        <w:rPr>
          <w:b/>
        </w:rPr>
        <w:t>Balance Supply and Demand</w:t>
      </w:r>
    </w:p>
    <w:p>
      <w:pPr>
        <w:pStyle w:val="Normal"/>
        <w:numPr>
          <w:ilvl w:val="2"/>
          <w:numId w:val="3"/>
        </w:numPr>
        <w:spacing w:before="40" w:after="40"/>
        <w:rPr/>
      </w:pPr>
      <w:r>
        <w:rPr/>
        <w:t>Promote New Construction</w:t>
      </w:r>
    </w:p>
    <w:p>
      <w:pPr>
        <w:pStyle w:val="Normal"/>
        <w:numPr>
          <w:ilvl w:val="3"/>
          <w:numId w:val="3"/>
        </w:numPr>
        <w:spacing w:before="40" w:after="40"/>
        <w:rPr/>
      </w:pPr>
      <w:r>
        <w:rPr/>
        <w:t xml:space="preserve">Support meaningful expedited siting </w:t>
      </w:r>
    </w:p>
    <w:p>
      <w:pPr>
        <w:pStyle w:val="Normal"/>
        <w:numPr>
          <w:ilvl w:val="3"/>
          <w:numId w:val="3"/>
        </w:numPr>
        <w:spacing w:before="40" w:after="40"/>
        <w:rPr/>
      </w:pPr>
      <w:r>
        <w:rPr/>
        <w:t>“</w:t>
      </w:r>
      <w:r>
        <w:rPr/>
        <w:t>California needs to build two new power plants per year just to keep pace with load growth.” (Menlo p 8)</w:t>
      </w:r>
    </w:p>
    <w:p>
      <w:pPr>
        <w:pStyle w:val="Normal"/>
        <w:numPr>
          <w:ilvl w:val="3"/>
          <w:numId w:val="3"/>
        </w:numPr>
        <w:spacing w:before="40" w:after="40"/>
        <w:rPr/>
      </w:pPr>
      <w:r>
        <w:rPr/>
        <w:t>“</w:t>
      </w:r>
      <w:r>
        <w:rPr/>
        <w:t>Over two-thirds of the state’s generation capacity is 25 years old or older (Menlo p 13)</w:t>
      </w:r>
    </w:p>
    <w:p>
      <w:pPr>
        <w:pStyle w:val="Normal"/>
        <w:numPr>
          <w:ilvl w:val="3"/>
          <w:numId w:val="3"/>
        </w:numPr>
        <w:spacing w:before="40" w:after="40"/>
        <w:rPr/>
      </w:pPr>
      <w:r>
        <w:rPr/>
        <w:t>Regulatory impediments—see Menlo p 13</w:t>
      </w:r>
    </w:p>
    <w:p>
      <w:pPr>
        <w:pStyle w:val="Normal"/>
        <w:numPr>
          <w:ilvl w:val="2"/>
          <w:numId w:val="3"/>
        </w:numPr>
        <w:spacing w:before="40" w:after="40"/>
        <w:rPr/>
      </w:pPr>
      <w:r>
        <w:rPr/>
        <w:t>Transmission expansion</w:t>
      </w:r>
    </w:p>
    <w:p>
      <w:pPr>
        <w:pStyle w:val="Normal"/>
        <w:numPr>
          <w:ilvl w:val="3"/>
          <w:numId w:val="3"/>
        </w:numPr>
        <w:spacing w:before="40" w:after="40"/>
        <w:rPr>
          <w:i/>
          <w:i/>
        </w:rPr>
      </w:pPr>
      <w:r>
        <w:rPr/>
        <w:t>Support meaningful expedited siting</w:t>
      </w:r>
    </w:p>
    <w:p>
      <w:pPr>
        <w:pStyle w:val="Normal"/>
        <w:numPr>
          <w:ilvl w:val="1"/>
          <w:numId w:val="3"/>
        </w:numPr>
        <w:spacing w:before="40" w:after="40"/>
        <w:rPr>
          <w:b/>
        </w:rPr>
      </w:pPr>
      <w:r>
        <w:rPr>
          <w:b/>
        </w:rPr>
        <w:t>Demand Side</w:t>
      </w:r>
    </w:p>
    <w:p>
      <w:pPr>
        <w:pStyle w:val="Normal"/>
        <w:numPr>
          <w:ilvl w:val="2"/>
          <w:numId w:val="3"/>
        </w:numPr>
        <w:spacing w:before="40" w:after="40"/>
        <w:rPr/>
      </w:pPr>
      <w:r>
        <w:rPr/>
        <w:t>Better demand response to price signals</w:t>
      </w:r>
    </w:p>
    <w:p>
      <w:pPr>
        <w:pStyle w:val="Normal"/>
        <w:numPr>
          <w:ilvl w:val="3"/>
          <w:numId w:val="3"/>
        </w:numPr>
        <w:spacing w:before="40" w:after="40"/>
        <w:rPr/>
      </w:pPr>
      <w:r>
        <w:rPr/>
        <w:t xml:space="preserve">Installation of real-time meters to allow customers to respond to price signals </w:t>
      </w:r>
    </w:p>
    <w:p>
      <w:pPr>
        <w:pStyle w:val="Normal"/>
        <w:numPr>
          <w:ilvl w:val="3"/>
          <w:numId w:val="3"/>
        </w:numPr>
        <w:spacing w:before="40" w:after="40"/>
        <w:rPr/>
      </w:pPr>
      <w:r>
        <w:rPr/>
        <w:t>“</w:t>
      </w:r>
      <w:r>
        <w:rPr/>
        <w:t>Significant benefits could be realized if just 10% of the total load were response to price.” (Menlo p 8)</w:t>
      </w:r>
    </w:p>
    <w:p>
      <w:pPr>
        <w:pStyle w:val="Normal"/>
        <w:numPr>
          <w:ilvl w:val="3"/>
          <w:numId w:val="3"/>
        </w:numPr>
        <w:spacing w:before="40" w:after="40"/>
        <w:rPr/>
      </w:pPr>
      <w:r>
        <w:rPr/>
        <w:t>See Menlo pp 25-28 for discussion of need for demand responsiveness</w:t>
      </w:r>
    </w:p>
    <w:p>
      <w:pPr>
        <w:pStyle w:val="Normal"/>
        <w:numPr>
          <w:ilvl w:val="3"/>
          <w:numId w:val="3"/>
        </w:numPr>
        <w:spacing w:before="40" w:after="40"/>
        <w:rPr/>
      </w:pPr>
      <w:r>
        <w:rPr/>
        <w:t>See Wolak pp 18-20 for discussion of need for demand responsiveness</w:t>
      </w:r>
    </w:p>
    <w:p>
      <w:pPr>
        <w:pStyle w:val="Normal"/>
        <w:numPr>
          <w:ilvl w:val="2"/>
          <w:numId w:val="3"/>
        </w:numPr>
        <w:spacing w:before="40" w:after="40"/>
        <w:rPr/>
      </w:pPr>
      <w:r>
        <w:rPr/>
        <w:t>Encourage cost-effective, appropriate conservation (per Dynegy bullets, p 2)</w:t>
      </w:r>
    </w:p>
    <w:p>
      <w:pPr>
        <w:pStyle w:val="Normal"/>
        <w:numPr>
          <w:ilvl w:val="1"/>
          <w:numId w:val="3"/>
        </w:numPr>
        <w:spacing w:before="40" w:after="40"/>
        <w:rPr>
          <w:b/>
        </w:rPr>
      </w:pPr>
      <w:r>
        <w:rPr>
          <w:b/>
        </w:rPr>
        <w:t>Develop Meaningful Retail Competition</w:t>
      </w:r>
    </w:p>
    <w:p>
      <w:pPr>
        <w:pStyle w:val="Normal"/>
        <w:numPr>
          <w:ilvl w:val="2"/>
          <w:numId w:val="3"/>
        </w:numPr>
        <w:spacing w:before="40" w:after="40"/>
        <w:rPr/>
      </w:pPr>
      <w:r>
        <w:rPr/>
        <w:t>IEP should look to Alliance for Retail Markets (ARM) / Enron for leadership on this issue</w:t>
      </w:r>
    </w:p>
    <w:p>
      <w:pPr>
        <w:pStyle w:val="Normal"/>
        <w:numPr>
          <w:ilvl w:val="2"/>
          <w:numId w:val="3"/>
        </w:numPr>
        <w:spacing w:before="40" w:after="40"/>
        <w:rPr/>
      </w:pPr>
      <w:r>
        <w:rPr/>
        <w:t>Consider Core / non-core structure similar to that of natural gas:</w:t>
      </w:r>
    </w:p>
    <w:p>
      <w:pPr>
        <w:pStyle w:val="Normal"/>
        <w:numPr>
          <w:ilvl w:val="3"/>
          <w:numId w:val="3"/>
        </w:numPr>
        <w:spacing w:before="40" w:after="40"/>
        <w:rPr/>
      </w:pPr>
      <w:r>
        <w:rPr/>
        <w:t>Initially competition for non-core customers only</w:t>
      </w:r>
    </w:p>
    <w:p>
      <w:pPr>
        <w:pStyle w:val="Normal"/>
        <w:numPr>
          <w:ilvl w:val="3"/>
          <w:numId w:val="3"/>
        </w:numPr>
        <w:spacing w:before="40" w:after="40"/>
        <w:rPr/>
      </w:pPr>
      <w:r>
        <w:rPr/>
        <w:t>Phase in to core customers as market becomes robust</w:t>
      </w:r>
    </w:p>
    <w:p>
      <w:pPr>
        <w:pStyle w:val="Normal"/>
        <w:numPr>
          <w:ilvl w:val="2"/>
          <w:numId w:val="3"/>
        </w:numPr>
        <w:spacing w:before="40" w:after="40"/>
        <w:rPr/>
      </w:pPr>
      <w:r>
        <w:rPr/>
        <w:t>“</w:t>
      </w:r>
      <w:r>
        <w:rPr/>
        <w:t>Price to Beat” market structure; perhaps indexed to gas prices</w:t>
      </w:r>
    </w:p>
    <w:p>
      <w:pPr>
        <w:pStyle w:val="Normal"/>
        <w:numPr>
          <w:ilvl w:val="2"/>
          <w:numId w:val="3"/>
        </w:numPr>
        <w:spacing w:before="40" w:after="40"/>
        <w:rPr/>
      </w:pPr>
      <w:r>
        <w:rPr/>
        <w:t>Shoppers credits to appropriately encourage ESP markets</w:t>
      </w:r>
    </w:p>
    <w:p>
      <w:pPr>
        <w:pStyle w:val="Normal"/>
        <w:numPr>
          <w:ilvl w:val="2"/>
          <w:numId w:val="3"/>
        </w:numPr>
        <w:spacing w:before="40" w:after="40"/>
        <w:rPr/>
      </w:pPr>
      <w:r>
        <w:rPr/>
        <w:t>Current CTC recovery structure dampens price responsiveness (Wolak p 5)</w:t>
      </w:r>
    </w:p>
    <w:p>
      <w:pPr>
        <w:pStyle w:val="Normal"/>
        <w:rPr/>
      </w:pPr>
      <w:r>
        <w:rPr/>
      </w:r>
    </w:p>
    <w:sectPr>
      <w:headerReference w:type="default" r:id="rId2"/>
      <w:headerReference w:type="first" r:id="rId3"/>
      <w:footnotePr>
        <w:numFmt w:val="decimal"/>
      </w:footnotePr>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Filed in FERC dockets EL00-95-000, EL00-98-000 (SDG&amp;E Complaint and associated FERC investigation), El00-104 (EOB Complaint) and EL00-107 (FERC investigation).</w:t>
      </w:r>
    </w:p>
  </w:footnote>
  <w:footnote w:id="3">
    <w:p>
      <w:pPr>
        <w:pStyle w:val="FootnoteText"/>
        <w:rPr/>
      </w:pPr>
      <w:r>
        <w:rPr>
          <w:rStyle w:val="FootnoteCharacters"/>
        </w:rPr>
        <w:footnoteRef/>
      </w:r>
      <w:r>
        <w:rPr/>
        <w:t xml:space="preserve"> </w:t>
      </w:r>
      <w:r>
        <w:rPr/>
        <w:t>CAISO reiterates this position in its “Settlement” described later in this memorandum.</w:t>
      </w:r>
    </w:p>
  </w:footnote>
  <w:footnote w:id="4">
    <w:p>
      <w:pPr>
        <w:pStyle w:val="FootnoteText"/>
        <w:rPr/>
      </w:pPr>
      <w:r>
        <w:rPr>
          <w:rStyle w:val="FootnoteCharacters"/>
        </w:rPr>
        <w:footnoteRef/>
      </w:r>
      <w:r>
        <w:rPr/>
        <w:t xml:space="preserve"> </w:t>
      </w:r>
      <w:r>
        <w:rPr/>
        <w:t>The CPUC also makes a particularly curious argument by relying upon the retail “Schedule PX” costs as evidence of a continued high price trend.  Unfortunately, the utilities’ Schedule PX prices reflect a blending of multiple market results from a number of time periods, which would include very high realtime prices from “underscheduled” demand.  Because CAISO invoicing is lagged, it is very likely that mid-winter Schedule PX rates will include a high proportion of summer CAISO realtime energy costs resulting from the UDCs unilateral scheduling decisions.  Hence, using the Schedule PX as a benchmark for wholesale pricing is—at minimum—misleading.</w:t>
      </w:r>
    </w:p>
  </w:footnote>
  <w:footnote w:id="5">
    <w:p>
      <w:pPr>
        <w:pStyle w:val="FootnoteText"/>
        <w:rPr/>
      </w:pPr>
      <w:r>
        <w:rPr>
          <w:rStyle w:val="FootnoteCharacters"/>
        </w:rPr>
        <w:footnoteRef/>
      </w:r>
      <w:r>
        <w:rPr/>
        <w:t xml:space="preserve"> </w:t>
      </w:r>
      <w:r>
        <w:rPr/>
        <w:t>A price cap ceiling of $100/Mwhr was selected because the analysis undertaken by the DMA indicates</w:t>
      </w:r>
    </w:p>
    <w:p>
      <w:pPr>
        <w:pStyle w:val="FootnoteText"/>
        <w:rPr/>
      </w:pPr>
      <w:r>
        <w:rPr/>
        <w:t>that during times when the market is workably competitive, it clears at prices below $100/Mwhr.</w:t>
      </w:r>
    </w:p>
    <w:p>
      <w:pPr>
        <w:pStyle w:val="FootnoteText"/>
        <w:rPr/>
      </w:pPr>
      <w:r>
        <w:rPr/>
        <w:t>See Hildebrandt Declaration at 3,7,9. The ISO would propose to peg that ceiling price to an assumed monthly average burner tip price of natural gas at $7/MMBtu. To the extent that the price of natural gas deviates from this assumed cost by more than a threshold level, say 5%, it would be the ISO’s intention that the ceiling price be adjusted to reflect that cost change. Application of that standard today might require a price higher than $100/Mwhr in light of recent escalations in natural gas prices. It is proposed that the base price be established by reference to the most current natural gas information available at the time that the Commission approves the settlement.</w:t>
      </w:r>
    </w:p>
  </w:footnote>
  <w:footnote w:id="6">
    <w:p>
      <w:pPr>
        <w:pStyle w:val="FootnoteText"/>
        <w:rPr/>
      </w:pPr>
      <w:r>
        <w:rPr>
          <w:rStyle w:val="FootnoteCharacters"/>
        </w:rPr>
        <w:footnoteRef/>
      </w:r>
      <w:r>
        <w:rPr/>
        <w:t xml:space="preserve"> </w:t>
      </w:r>
      <w:r>
        <w:rPr/>
        <w:t>Imports present an especially vexing problem. A suggested solution is offered but on this issue in particular, we encourage the parties to engage in frank discussions toward the end of developing a satisfactory compromise.</w:t>
      </w:r>
    </w:p>
  </w:footnote>
  <w:footnote w:id="7">
    <w:p>
      <w:pPr>
        <w:pStyle w:val="FootnoteText"/>
        <w:rPr/>
      </w:pPr>
      <w:r>
        <w:rPr>
          <w:rStyle w:val="FootnoteCharacters"/>
        </w:rPr>
        <w:footnoteRef/>
      </w:r>
      <w:r>
        <w:rPr/>
        <w:t xml:space="preserve"> </w:t>
      </w:r>
      <w:r>
        <w:rPr/>
        <w:t>Demand-side programs would not be subject to any payment cap.</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IEP Market Response: Upcoming FERC Filings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p>
    <w:pPr>
      <w:pStyle w:val="Header"/>
      <w:rPr/>
    </w:pPr>
    <w:r>
      <w:rPr>
        <w:rStyle w:val="PageNumber"/>
      </w:rPr>
      <w:t>October 26, 2000</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szCs w:val="24"/>
      </w:rPr>
    </w:pPr>
    <w:r>
      <w:rPr>
        <w:smallCaps/>
        <w:color w:val="008080"/>
        <w:sz w:val="26"/>
        <w:szCs w:val="26"/>
      </w:rPr>
      <w:t>Ellison, Schneider &amp; Harris L.L.P.</w:t>
    </w:r>
  </w:p>
  <w:p>
    <w:pPr>
      <w:pStyle w:val="Normal"/>
      <w:spacing w:lineRule="atLeast" w:line="312"/>
      <w:jc w:val="center"/>
      <w:rPr>
        <w:smallCaps/>
        <w:szCs w:val="24"/>
      </w:rPr>
    </w:pPr>
    <w:r>
      <w:rPr>
        <w:smallCaps/>
        <w:sz w:val="22"/>
        <w:szCs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zCs w:val="24"/>
      </w:rPr>
    </w:pPr>
    <w:r>
      <w:rPr>
        <w:smallCaps/>
      </w:rPr>
      <w:t>Telephone (916) 447-2166   Fax (916) 447-3512</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8"/>
        <w:i w:val="false"/>
        <w:b/>
      </w:rPr>
    </w:lvl>
    <w:lvl w:ilvl="1">
      <w:start w:val="1"/>
      <w:numFmt w:val="bullet"/>
      <w:lvlText w:val=""/>
      <w:lvlJc w:val="start"/>
      <w:pPr>
        <w:tabs>
          <w:tab w:val="num" w:pos="720"/>
        </w:tabs>
        <w:ind w:start="720" w:hanging="360"/>
      </w:pPr>
      <w:rPr>
        <w:rFonts w:ascii="Wingdings" w:hAnsi="Wingdings" w:cs="Wingdings" w:hint="default"/>
        <w:sz w:val="22"/>
      </w:rPr>
    </w:lvl>
    <w:lvl w:ilvl="2">
      <w:start w:val="1"/>
      <w:numFmt w:val="bullet"/>
      <w:lvlText w:val=""/>
      <w:lvlJc w:val="start"/>
      <w:pPr>
        <w:tabs>
          <w:tab w:val="num" w:pos="1080"/>
        </w:tabs>
        <w:ind w:start="1080" w:hanging="360"/>
      </w:pPr>
      <w:rPr>
        <w:rFonts w:ascii="Wingdings" w:hAnsi="Wingdings" w:cs="Wingdings" w:hint="default"/>
        <w:sz w:val="24"/>
      </w:rPr>
    </w:lvl>
    <w:lvl w:ilvl="3">
      <w:start w:val="1"/>
      <w:numFmt w:val="bullet"/>
      <w:lvlText w:val=""/>
      <w:lvlJc w:val="start"/>
      <w:pPr>
        <w:tabs>
          <w:tab w:val="num" w:pos="1440"/>
        </w:tabs>
        <w:ind w:start="1440" w:hanging="360"/>
      </w:pPr>
      <w:rPr>
        <w:rFonts w:ascii="Symbol" w:hAnsi="Symbol" w:cs="Symbol" w:hint="default"/>
        <w:sz w:val="18"/>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b/>
      <w:i w:val="false"/>
      <w:sz w:val="28"/>
    </w:rPr>
  </w:style>
  <w:style w:type="character" w:styleId="WW8Num2z1">
    <w:name w:val="WW8Num2z1"/>
    <w:qFormat/>
    <w:rPr>
      <w:rFonts w:ascii="Wingdings" w:hAnsi="Wingdings" w:cs="Wingdings"/>
      <w:sz w:val="22"/>
    </w:rPr>
  </w:style>
  <w:style w:type="character" w:styleId="WW8Num2z2">
    <w:name w:val="WW8Num2z2"/>
    <w:qFormat/>
    <w:rPr>
      <w:rFonts w:ascii="Wingdings" w:hAnsi="Wingdings" w:cs="Wingdings"/>
      <w:sz w:val="24"/>
    </w:rPr>
  </w:style>
  <w:style w:type="character" w:styleId="WW8Num2z3">
    <w:name w:val="WW8Num2z3"/>
    <w:qFormat/>
    <w:rPr>
      <w:rFonts w:ascii="Symbol" w:hAnsi="Symbol" w:cs="Symbol"/>
      <w:sz w:val="18"/>
    </w:rPr>
  </w:style>
  <w:style w:type="character" w:styleId="WW8Num2z4">
    <w:name w:val="WW8Num2z4"/>
    <w:qFormat/>
    <w:rPr>
      <w:rFonts w:ascii="Symbol" w:hAnsi="Symbol" w:cs="Symbol"/>
    </w:rPr>
  </w:style>
  <w:style w:type="character" w:styleId="WW8Num2z5">
    <w:name w:val="WW8Num2z5"/>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e">
    <w:name w:val="re"/>
    <w:basedOn w:val="Normal"/>
    <w:qFormat/>
    <w:pPr>
      <w:tabs>
        <w:tab w:val="left" w:pos="720" w:leader="none"/>
        <w:tab w:val="left" w:pos="1440" w:leader="none"/>
      </w:tabs>
      <w:ind w:hanging="1440" w:start="1440" w:end="0"/>
    </w:pPr>
    <w:rPr/>
  </w:style>
  <w:style w:type="paragraph" w:styleId="FootnoteText">
    <w:name w:val="footnote text"/>
    <w:basedOn w:val="Normal"/>
    <w:pPr/>
    <w:rPr>
      <w:sz w:val="20"/>
    </w:rPr>
  </w:style>
  <w:style w:type="paragraph" w:styleId="doubleindent">
    <w:name w:val="double indent"/>
    <w:basedOn w:val="Normal"/>
    <w:qFormat/>
    <w:pPr>
      <w:autoSpaceDE w:val="false"/>
      <w:ind w:hanging="0" w:start="710" w:end="698"/>
      <w:jc w:val="both"/>
    </w:pPr>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2000-10-26T14:33:00Z</dcterms:created>
  <dc:creator>Andrew Brown</dc:creator>
  <dc:description/>
  <dc:language>en-CA</dc:language>
  <cp:lastModifiedBy>Andrew Brown</cp:lastModifiedBy>
  <cp:lastPrinted>2000-10-26T10:25:00Z</cp:lastPrinted>
  <dcterms:modified xsi:type="dcterms:W3CDTF">2000-10-26T16:44:00Z</dcterms:modified>
  <cp:revision>8</cp:revision>
  <dc:subject/>
  <dc:title>CONFIDENTIAL AND PRIVILEGED ATTORNEY-CLIENT COMMUNICATION</dc:title>
</cp:coreProperties>
</file>